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2794879" w:displacedByCustomXml="next"/>
    <w:sdt>
      <w:sdtPr>
        <w:rPr>
          <w:rFonts w:ascii="Times New Roman" w:eastAsiaTheme="minorHAnsi" w:hAnsi="Times New Roman" w:cs="Times New Roman"/>
          <w:sz w:val="24"/>
          <w:szCs w:val="20"/>
          <w:lang w:val="en-GB"/>
        </w:rPr>
        <w:id w:val="1343976954"/>
        <w:docPartObj>
          <w:docPartGallery w:val="Cover Pages"/>
          <w:docPartUnique/>
        </w:docPartObj>
      </w:sdtPr>
      <w:sdtEndPr>
        <w:rPr>
          <w:rFonts w:asciiTheme="minorHAnsi" w:hAnsiTheme="minorHAnsi" w:cstheme="minorBidi"/>
          <w:sz w:val="22"/>
          <w:szCs w:val="22"/>
        </w:rPr>
      </w:sdtEndPr>
      <w:sdtContent>
        <w:p w14:paraId="24AAB992" w14:textId="77777777" w:rsidR="0021283A" w:rsidRDefault="0021283A">
          <w:pPr>
            <w:pStyle w:val="NoSpacing"/>
          </w:pPr>
          <w:r>
            <w:rPr>
              <w:noProof/>
              <w:lang w:val="en-GB" w:eastAsia="en-GB"/>
            </w:rPr>
            <mc:AlternateContent>
              <mc:Choice Requires="wpg">
                <w:drawing>
                  <wp:anchor distT="0" distB="0" distL="114300" distR="114300" simplePos="0" relativeHeight="251659264" behindDoc="1" locked="0" layoutInCell="1" allowOverlap="1" wp14:anchorId="00653E93" wp14:editId="471E45E6">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2E74B5" w:themeColor="accent5" w:themeShade="BF"/>
                                      <w:sz w:val="28"/>
                                      <w:szCs w:val="28"/>
                                    </w:rPr>
                                    <w:alias w:val="Date"/>
                                    <w:tag w:val=""/>
                                    <w:id w:val="-1528328868"/>
                                    <w:showingPlcHdr/>
                                    <w:dataBinding w:prefixMappings="xmlns:ns0='http://schemas.microsoft.com/office/2006/coverPageProps' " w:xpath="/ns0:CoverPageProperties[1]/ns0:PublishDate[1]" w:storeItemID="{55AF091B-3C7A-41E3-B477-F2FDAA23CFDA}"/>
                                    <w:date w:fullDate="2017-01-03T00:00:00Z">
                                      <w:dateFormat w:val="M/d/yyyy"/>
                                      <w:lid w:val="en-US"/>
                                      <w:storeMappedDataAs w:val="dateTime"/>
                                      <w:calendar w:val="gregorian"/>
                                    </w:date>
                                  </w:sdtPr>
                                  <w:sdtEndPr/>
                                  <w:sdtContent>
                                    <w:p w14:paraId="39CDC003" w14:textId="77777777" w:rsidR="008C70FC" w:rsidRPr="00E62209" w:rsidRDefault="008C70FC">
                                      <w:pPr>
                                        <w:pStyle w:val="NoSpacing"/>
                                        <w:jc w:val="right"/>
                                        <w:rPr>
                                          <w:color w:val="2E74B5" w:themeColor="accent5" w:themeShade="BF"/>
                                          <w:sz w:val="28"/>
                                          <w:szCs w:val="28"/>
                                        </w:rPr>
                                      </w:pPr>
                                      <w:r w:rsidRPr="00E62209">
                                        <w:rPr>
                                          <w:color w:val="2E74B5" w:themeColor="accent5" w:themeShade="BF"/>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0653E93"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2E74B5" w:themeColor="accent5" w:themeShade="BF"/>
                                <w:sz w:val="28"/>
                                <w:szCs w:val="28"/>
                              </w:rPr>
                              <w:alias w:val="Date"/>
                              <w:tag w:val=""/>
                              <w:id w:val="-1528328868"/>
                              <w:showingPlcHdr/>
                              <w:dataBinding w:prefixMappings="xmlns:ns0='http://schemas.microsoft.com/office/2006/coverPageProps' " w:xpath="/ns0:CoverPageProperties[1]/ns0:PublishDate[1]" w:storeItemID="{55AF091B-3C7A-41E3-B477-F2FDAA23CFDA}"/>
                              <w:date w:fullDate="2017-01-03T00:00:00Z">
                                <w:dateFormat w:val="M/d/yyyy"/>
                                <w:lid w:val="en-US"/>
                                <w:storeMappedDataAs w:val="dateTime"/>
                                <w:calendar w:val="gregorian"/>
                              </w:date>
                            </w:sdtPr>
                            <w:sdtEndPr/>
                            <w:sdtContent>
                              <w:p w14:paraId="39CDC003" w14:textId="77777777" w:rsidR="008C70FC" w:rsidRPr="00E62209" w:rsidRDefault="008C70FC">
                                <w:pPr>
                                  <w:pStyle w:val="NoSpacing"/>
                                  <w:jc w:val="right"/>
                                  <w:rPr>
                                    <w:color w:val="2E74B5" w:themeColor="accent5" w:themeShade="BF"/>
                                    <w:sz w:val="28"/>
                                    <w:szCs w:val="28"/>
                                  </w:rPr>
                                </w:pPr>
                                <w:r w:rsidRPr="00E62209">
                                  <w:rPr>
                                    <w:color w:val="2E74B5" w:themeColor="accent5" w:themeShade="BF"/>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F6C60BF" wp14:editId="2BC85F99">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305A6" w14:textId="77777777" w:rsidR="008C70FC" w:rsidRDefault="00264329">
                                <w:pPr>
                                  <w:pStyle w:val="NoSpacing"/>
                                  <w:rPr>
                                    <w:color w:val="595959" w:themeColor="text1" w:themeTint="A6"/>
                                    <w:sz w:val="20"/>
                                    <w:szCs w:val="20"/>
                                  </w:rPr>
                                </w:pPr>
                                <w:sdt>
                                  <w:sdtPr>
                                    <w:rPr>
                                      <w:caps/>
                                      <w:color w:val="595959" w:themeColor="text1" w:themeTint="A6"/>
                                      <w:sz w:val="20"/>
                                      <w:szCs w:val="20"/>
                                    </w:rPr>
                                    <w:alias w:val="Company"/>
                                    <w:tag w:val=""/>
                                    <w:id w:val="337042922"/>
                                    <w:dataBinding w:prefixMappings="xmlns:ns0='http://schemas.openxmlformats.org/officeDocument/2006/extended-properties' " w:xpath="/ns0:Properties[1]/ns0:Company[1]" w:storeItemID="{6668398D-A668-4E3E-A5EB-62B293D839F1}"/>
                                    <w:text/>
                                  </w:sdtPr>
                                  <w:sdtEndPr/>
                                  <w:sdtContent>
                                    <w:r w:rsidR="008C70FC">
                                      <w:rPr>
                                        <w:caps/>
                                        <w:color w:val="595959" w:themeColor="text1" w:themeTint="A6"/>
                                        <w:sz w:val="20"/>
                                        <w:szCs w:val="20"/>
                                      </w:rPr>
                                      <w:t>JDH Business Services Ltd</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F6C60BF"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700305A6" w14:textId="77777777" w:rsidR="008C70FC" w:rsidRDefault="001B5B0C">
                          <w:pPr>
                            <w:pStyle w:val="NoSpacing"/>
                            <w:rPr>
                              <w:color w:val="595959" w:themeColor="text1" w:themeTint="A6"/>
                              <w:sz w:val="20"/>
                              <w:szCs w:val="20"/>
                            </w:rPr>
                          </w:pPr>
                          <w:sdt>
                            <w:sdtPr>
                              <w:rPr>
                                <w:caps/>
                                <w:color w:val="595959" w:themeColor="text1" w:themeTint="A6"/>
                                <w:sz w:val="20"/>
                                <w:szCs w:val="20"/>
                              </w:rPr>
                              <w:alias w:val="Company"/>
                              <w:tag w:val=""/>
                              <w:id w:val="337042922"/>
                              <w:dataBinding w:prefixMappings="xmlns:ns0='http://schemas.openxmlformats.org/officeDocument/2006/extended-properties' " w:xpath="/ns0:Properties[1]/ns0:Company[1]" w:storeItemID="{6668398D-A668-4E3E-A5EB-62B293D839F1}"/>
                              <w:text/>
                            </w:sdtPr>
                            <w:sdtEndPr/>
                            <w:sdtContent>
                              <w:r w:rsidR="008C70FC">
                                <w:rPr>
                                  <w:caps/>
                                  <w:color w:val="595959" w:themeColor="text1" w:themeTint="A6"/>
                                  <w:sz w:val="20"/>
                                  <w:szCs w:val="20"/>
                                </w:rPr>
                                <w:t>JDH Business Services Ltd</w:t>
                              </w:r>
                            </w:sdtContent>
                          </w:sdt>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1082CC0" wp14:editId="71A9961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FC040" w14:textId="77777777" w:rsidR="008C70FC" w:rsidRDefault="00264329">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239322103"/>
                                    <w:dataBinding w:prefixMappings="xmlns:ns0='http://purl.org/dc/elements/1.1/' xmlns:ns1='http://schemas.openxmlformats.org/package/2006/metadata/core-properties' " w:xpath="/ns1:coreProperties[1]/ns0:title[1]" w:storeItemID="{6C3C8BC8-F283-45AE-878A-BAB7291924A1}"/>
                                    <w:text/>
                                  </w:sdtPr>
                                  <w:sdtEndPr/>
                                  <w:sdtContent>
                                    <w:r w:rsidR="0093463B">
                                      <w:rPr>
                                        <w:rFonts w:asciiTheme="majorHAnsi" w:eastAsiaTheme="majorEastAsia" w:hAnsiTheme="majorHAnsi" w:cstheme="majorBidi"/>
                                        <w:color w:val="262626" w:themeColor="text1" w:themeTint="D9"/>
                                        <w:sz w:val="72"/>
                                        <w:szCs w:val="72"/>
                                      </w:rPr>
                                      <w:t>Prestbury Parish</w:t>
                                    </w:r>
                                    <w:r w:rsidR="008C70FC">
                                      <w:rPr>
                                        <w:rFonts w:asciiTheme="majorHAnsi" w:eastAsiaTheme="majorEastAsia" w:hAnsiTheme="majorHAnsi" w:cstheme="majorBidi"/>
                                        <w:color w:val="262626" w:themeColor="text1" w:themeTint="D9"/>
                                        <w:sz w:val="72"/>
                                        <w:szCs w:val="72"/>
                                      </w:rPr>
                                      <w:t xml:space="preserve"> Council</w:t>
                                    </w:r>
                                  </w:sdtContent>
                                </w:sdt>
                              </w:p>
                              <w:p w14:paraId="51DF562E" w14:textId="2B10B503" w:rsidR="008C70FC" w:rsidRDefault="008C70FC">
                                <w:pPr>
                                  <w:spacing w:before="120"/>
                                  <w:rPr>
                                    <w:color w:val="404040" w:themeColor="text1" w:themeTint="BF"/>
                                    <w:sz w:val="36"/>
                                    <w:szCs w:val="36"/>
                                  </w:rPr>
                                </w:pPr>
                                <w:r>
                                  <w:rPr>
                                    <w:color w:val="404040" w:themeColor="text1" w:themeTint="BF"/>
                                    <w:sz w:val="36"/>
                                    <w:szCs w:val="36"/>
                                  </w:rPr>
                                  <w:t>Internal Audit 20</w:t>
                                </w:r>
                                <w:r w:rsidR="00290721">
                                  <w:rPr>
                                    <w:color w:val="404040" w:themeColor="text1" w:themeTint="BF"/>
                                    <w:sz w:val="36"/>
                                    <w:szCs w:val="36"/>
                                  </w:rPr>
                                  <w:t>20/21</w:t>
                                </w:r>
                              </w:p>
                              <w:p w14:paraId="7FF9F128" w14:textId="77777777" w:rsidR="008C70FC" w:rsidRDefault="008C70FC">
                                <w:pPr>
                                  <w:spacing w:before="120"/>
                                  <w:rPr>
                                    <w:color w:val="404040" w:themeColor="text1" w:themeTint="BF"/>
                                    <w:sz w:val="36"/>
                                    <w:szCs w:val="36"/>
                                  </w:rPr>
                                </w:pPr>
                              </w:p>
                              <w:p w14:paraId="32A5928E" w14:textId="77777777" w:rsidR="008C70FC" w:rsidRPr="0054443C" w:rsidRDefault="008C70FC">
                                <w:pPr>
                                  <w:spacing w:before="120"/>
                                  <w:rPr>
                                    <w:i/>
                                    <w:color w:val="404040" w:themeColor="text1" w:themeTint="BF"/>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41082CC0"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14:paraId="7BDFC040" w14:textId="77777777" w:rsidR="008C70FC" w:rsidRDefault="001B5B0C">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239322103"/>
                              <w:dataBinding w:prefixMappings="xmlns:ns0='http://purl.org/dc/elements/1.1/' xmlns:ns1='http://schemas.openxmlformats.org/package/2006/metadata/core-properties' " w:xpath="/ns1:coreProperties[1]/ns0:title[1]" w:storeItemID="{6C3C8BC8-F283-45AE-878A-BAB7291924A1}"/>
                              <w:text/>
                            </w:sdtPr>
                            <w:sdtEndPr/>
                            <w:sdtContent>
                              <w:r w:rsidR="0093463B">
                                <w:rPr>
                                  <w:rFonts w:asciiTheme="majorHAnsi" w:eastAsiaTheme="majorEastAsia" w:hAnsiTheme="majorHAnsi" w:cstheme="majorBidi"/>
                                  <w:color w:val="262626" w:themeColor="text1" w:themeTint="D9"/>
                                  <w:sz w:val="72"/>
                                  <w:szCs w:val="72"/>
                                </w:rPr>
                                <w:t>Prestbury Parish</w:t>
                              </w:r>
                              <w:r w:rsidR="008C70FC">
                                <w:rPr>
                                  <w:rFonts w:asciiTheme="majorHAnsi" w:eastAsiaTheme="majorEastAsia" w:hAnsiTheme="majorHAnsi" w:cstheme="majorBidi"/>
                                  <w:color w:val="262626" w:themeColor="text1" w:themeTint="D9"/>
                                  <w:sz w:val="72"/>
                                  <w:szCs w:val="72"/>
                                </w:rPr>
                                <w:t xml:space="preserve"> Council</w:t>
                              </w:r>
                            </w:sdtContent>
                          </w:sdt>
                        </w:p>
                        <w:p w14:paraId="51DF562E" w14:textId="2B10B503" w:rsidR="008C70FC" w:rsidRDefault="008C70FC">
                          <w:pPr>
                            <w:spacing w:before="120"/>
                            <w:rPr>
                              <w:color w:val="404040" w:themeColor="text1" w:themeTint="BF"/>
                              <w:sz w:val="36"/>
                              <w:szCs w:val="36"/>
                            </w:rPr>
                          </w:pPr>
                          <w:r>
                            <w:rPr>
                              <w:color w:val="404040" w:themeColor="text1" w:themeTint="BF"/>
                              <w:sz w:val="36"/>
                              <w:szCs w:val="36"/>
                            </w:rPr>
                            <w:t>Internal Audit 20</w:t>
                          </w:r>
                          <w:r w:rsidR="00290721">
                            <w:rPr>
                              <w:color w:val="404040" w:themeColor="text1" w:themeTint="BF"/>
                              <w:sz w:val="36"/>
                              <w:szCs w:val="36"/>
                            </w:rPr>
                            <w:t>20/21</w:t>
                          </w:r>
                        </w:p>
                        <w:p w14:paraId="7FF9F128" w14:textId="77777777" w:rsidR="008C70FC" w:rsidRDefault="008C70FC">
                          <w:pPr>
                            <w:spacing w:before="120"/>
                            <w:rPr>
                              <w:color w:val="404040" w:themeColor="text1" w:themeTint="BF"/>
                              <w:sz w:val="36"/>
                              <w:szCs w:val="36"/>
                            </w:rPr>
                          </w:pPr>
                        </w:p>
                        <w:p w14:paraId="32A5928E" w14:textId="77777777" w:rsidR="008C70FC" w:rsidRPr="0054443C" w:rsidRDefault="008C70FC">
                          <w:pPr>
                            <w:spacing w:before="120"/>
                            <w:rPr>
                              <w:i/>
                              <w:color w:val="404040" w:themeColor="text1" w:themeTint="BF"/>
                              <w:sz w:val="32"/>
                              <w:szCs w:val="32"/>
                            </w:rPr>
                          </w:pPr>
                        </w:p>
                      </w:txbxContent>
                    </v:textbox>
                    <w10:wrap anchorx="page" anchory="page"/>
                  </v:shape>
                </w:pict>
              </mc:Fallback>
            </mc:AlternateContent>
          </w:r>
        </w:p>
        <w:p w14:paraId="449DDB59" w14:textId="77777777" w:rsidR="008E768D" w:rsidRDefault="0021283A" w:rsidP="008E768D">
          <w:r>
            <w:br w:type="page"/>
          </w:r>
        </w:p>
        <w:p w14:paraId="76F4BFD8" w14:textId="77777777" w:rsidR="008321F8" w:rsidRDefault="008321F8" w:rsidP="008E768D">
          <w:pPr>
            <w:sectPr w:rsidR="008321F8" w:rsidSect="0021283A">
              <w:footerReference w:type="first" r:id="rId9"/>
              <w:pgSz w:w="11906" w:h="16838"/>
              <w:pgMar w:top="1440" w:right="1440" w:bottom="1440" w:left="1440" w:header="708" w:footer="708" w:gutter="0"/>
              <w:pgNumType w:start="0"/>
              <w:cols w:space="708"/>
              <w:titlePg/>
              <w:docGrid w:linePitch="360"/>
            </w:sectPr>
          </w:pPr>
        </w:p>
        <w:p w14:paraId="2670AB7F" w14:textId="77777777" w:rsidR="004C0714" w:rsidRDefault="00264329" w:rsidP="004C0714"/>
      </w:sdtContent>
    </w:sdt>
    <w:p w14:paraId="4B6FDB83" w14:textId="1D323213" w:rsidR="004C0714" w:rsidRPr="004C0714" w:rsidRDefault="004C0714" w:rsidP="004C0714">
      <w:pPr>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 xml:space="preserve"> The internal audit was carried out by undertaking the following tests in the </w:t>
      </w:r>
      <w:r w:rsidR="00290721">
        <w:rPr>
          <w:rFonts w:ascii="Times New Roman" w:eastAsia="Times New Roman" w:hAnsi="Times New Roman" w:cs="Times New Roman"/>
          <w:snapToGrid w:val="0"/>
          <w:sz w:val="24"/>
          <w:szCs w:val="20"/>
          <w:lang w:val="en-US"/>
        </w:rPr>
        <w:t xml:space="preserve">AGAR </w:t>
      </w:r>
      <w:r w:rsidRPr="004C0714">
        <w:rPr>
          <w:rFonts w:ascii="Times New Roman" w:eastAsia="Times New Roman" w:hAnsi="Times New Roman" w:cs="Times New Roman"/>
          <w:snapToGrid w:val="0"/>
          <w:sz w:val="24"/>
          <w:szCs w:val="20"/>
          <w:lang w:val="en-US"/>
        </w:rPr>
        <w:t>Annual Return for Local Councils in England:</w:t>
      </w:r>
    </w:p>
    <w:p w14:paraId="1D450928" w14:textId="77777777" w:rsidR="004C0714" w:rsidRPr="004C0714" w:rsidRDefault="004C0714" w:rsidP="004C0714">
      <w:pPr>
        <w:spacing w:after="0" w:line="240" w:lineRule="auto"/>
        <w:rPr>
          <w:rFonts w:ascii="Times New Roman" w:eastAsia="Times New Roman" w:hAnsi="Times New Roman" w:cs="Times New Roman"/>
          <w:snapToGrid w:val="0"/>
          <w:sz w:val="24"/>
          <w:szCs w:val="20"/>
          <w:lang w:val="en-US"/>
        </w:rPr>
      </w:pPr>
    </w:p>
    <w:p w14:paraId="7C7D11D4" w14:textId="77777777" w:rsidR="004C0714" w:rsidRPr="004C0714" w:rsidRDefault="004C0714" w:rsidP="004C0714">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Checking that books of account have been properly kept throughout the year</w:t>
      </w:r>
    </w:p>
    <w:p w14:paraId="6521EB19" w14:textId="77777777" w:rsidR="004C0714" w:rsidRPr="004C0714" w:rsidRDefault="004C0714" w:rsidP="004C0714">
      <w:pPr>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Checking a sample of payments to ensure that the Council’s financial regulations have been met, payments are supported by invoices, expenditure is approved, and VAT is correctly accounted for</w:t>
      </w:r>
    </w:p>
    <w:p w14:paraId="61450C4D" w14:textId="77777777" w:rsidR="004C0714" w:rsidRPr="004C0714" w:rsidRDefault="004C0714" w:rsidP="004C0714">
      <w:pPr>
        <w:numPr>
          <w:ilvl w:val="0"/>
          <w:numId w:val="30"/>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Reviewing the Council’s risk assessment and ensuring that adequate arrangements are in place to manage all identified risks</w:t>
      </w:r>
    </w:p>
    <w:p w14:paraId="30F5C73B" w14:textId="77777777" w:rsidR="004C0714" w:rsidRPr="004C0714" w:rsidRDefault="004C0714" w:rsidP="004C0714">
      <w:pPr>
        <w:numPr>
          <w:ilvl w:val="0"/>
          <w:numId w:val="31"/>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Verifying that the annual precept request is the result of a proper budgetary process; that budget progress has been regularly monitored and that the council’s reserves are appropriate</w:t>
      </w:r>
    </w:p>
    <w:p w14:paraId="5FE8F36E" w14:textId="77777777" w:rsidR="004C0714" w:rsidRPr="004C0714" w:rsidRDefault="004C0714" w:rsidP="004C0714">
      <w:pPr>
        <w:numPr>
          <w:ilvl w:val="0"/>
          <w:numId w:val="32"/>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Checking income records to ensure that the correct price has been charged, income has been received, recorded and promptly banked and VAT is correctly accounted for</w:t>
      </w:r>
    </w:p>
    <w:p w14:paraId="06CFAA5E" w14:textId="77777777" w:rsidR="004C0714" w:rsidRPr="004C0714" w:rsidRDefault="004C0714" w:rsidP="004C0714">
      <w:pPr>
        <w:numPr>
          <w:ilvl w:val="0"/>
          <w:numId w:val="33"/>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 xml:space="preserve">Reviewing petty cash records to ensure payments are supported by receipts, expenditure is </w:t>
      </w:r>
      <w:r w:rsidR="00812119" w:rsidRPr="004C0714">
        <w:rPr>
          <w:rFonts w:ascii="Times New Roman" w:eastAsia="Times New Roman" w:hAnsi="Times New Roman" w:cs="Times New Roman"/>
          <w:snapToGrid w:val="0"/>
          <w:sz w:val="24"/>
          <w:szCs w:val="20"/>
          <w:lang w:val="en-US"/>
        </w:rPr>
        <w:t>approved,</w:t>
      </w:r>
      <w:r w:rsidRPr="004C0714">
        <w:rPr>
          <w:rFonts w:ascii="Times New Roman" w:eastAsia="Times New Roman" w:hAnsi="Times New Roman" w:cs="Times New Roman"/>
          <w:snapToGrid w:val="0"/>
          <w:sz w:val="24"/>
          <w:szCs w:val="20"/>
          <w:lang w:val="en-US"/>
        </w:rPr>
        <w:t xml:space="preserve"> and VAT is correctly accounted for</w:t>
      </w:r>
    </w:p>
    <w:p w14:paraId="67C77EBC" w14:textId="77777777" w:rsidR="004C0714" w:rsidRPr="004C0714" w:rsidRDefault="004C0714" w:rsidP="004C0714">
      <w:pPr>
        <w:numPr>
          <w:ilvl w:val="0"/>
          <w:numId w:val="34"/>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Checking that salaries to employees have been paid in accordance with Council approvals and that PAYE and NI requirements have been properly applied</w:t>
      </w:r>
    </w:p>
    <w:p w14:paraId="6B55E10A" w14:textId="77777777" w:rsidR="004C0714" w:rsidRPr="004C0714" w:rsidRDefault="004C0714" w:rsidP="004C0714">
      <w:pPr>
        <w:numPr>
          <w:ilvl w:val="0"/>
          <w:numId w:val="35"/>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Checking the accuracy of the asset and investments registers</w:t>
      </w:r>
    </w:p>
    <w:p w14:paraId="58A7284E" w14:textId="77777777" w:rsidR="004C0714" w:rsidRPr="004C0714" w:rsidRDefault="004C0714" w:rsidP="004C0714">
      <w:pPr>
        <w:numPr>
          <w:ilvl w:val="0"/>
          <w:numId w:val="36"/>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Testing the accuracy and timeliness of periodic and year-end bank account reconciliation(s)</w:t>
      </w:r>
    </w:p>
    <w:p w14:paraId="1FC212ED" w14:textId="77777777" w:rsidR="004C0714" w:rsidRPr="004C0714" w:rsidRDefault="004C0714" w:rsidP="004C0714">
      <w:pPr>
        <w:numPr>
          <w:ilvl w:val="0"/>
          <w:numId w:val="37"/>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Year</w:t>
      </w:r>
      <w:r w:rsidR="00097ED3">
        <w:rPr>
          <w:rFonts w:ascii="Times New Roman" w:eastAsia="Times New Roman" w:hAnsi="Times New Roman" w:cs="Times New Roman"/>
          <w:snapToGrid w:val="0"/>
          <w:sz w:val="24"/>
          <w:szCs w:val="20"/>
          <w:lang w:val="en-US"/>
        </w:rPr>
        <w:t>-</w:t>
      </w:r>
      <w:r w:rsidRPr="004C0714">
        <w:rPr>
          <w:rFonts w:ascii="Times New Roman" w:eastAsia="Times New Roman" w:hAnsi="Times New Roman" w:cs="Times New Roman"/>
          <w:snapToGrid w:val="0"/>
          <w:sz w:val="24"/>
          <w:szCs w:val="20"/>
          <w:lang w:val="en-US"/>
        </w:rPr>
        <w:t>end testing on the accuracy and completeness of the financial statements</w:t>
      </w:r>
    </w:p>
    <w:p w14:paraId="735CD8B9" w14:textId="77777777" w:rsidR="004C0714" w:rsidRDefault="004C0714" w:rsidP="004C0714">
      <w:pPr>
        <w:spacing w:after="0" w:line="240" w:lineRule="auto"/>
        <w:rPr>
          <w:rFonts w:ascii="Times New Roman" w:eastAsia="Times New Roman" w:hAnsi="Times New Roman" w:cs="Times New Roman"/>
          <w:snapToGrid w:val="0"/>
          <w:sz w:val="24"/>
          <w:szCs w:val="20"/>
          <w:lang w:val="en-US"/>
        </w:rPr>
      </w:pPr>
    </w:p>
    <w:p w14:paraId="4BF32E1D" w14:textId="77777777" w:rsidR="00097ED3" w:rsidRPr="004C0714" w:rsidRDefault="00097ED3" w:rsidP="004C0714">
      <w:pPr>
        <w:spacing w:after="0" w:line="240" w:lineRule="auto"/>
        <w:rPr>
          <w:rFonts w:ascii="Times New Roman" w:eastAsia="Times New Roman" w:hAnsi="Times New Roman" w:cs="Times New Roman"/>
          <w:snapToGrid w:val="0"/>
          <w:sz w:val="24"/>
          <w:szCs w:val="20"/>
          <w:lang w:val="en-US"/>
        </w:rPr>
      </w:pPr>
    </w:p>
    <w:p w14:paraId="4B3CE095" w14:textId="77777777" w:rsidR="004C0714" w:rsidRPr="004C0714" w:rsidRDefault="004C0714" w:rsidP="004C0714">
      <w:pPr>
        <w:spacing w:after="0" w:line="240" w:lineRule="auto"/>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b/>
          <w:snapToGrid w:val="0"/>
          <w:sz w:val="24"/>
          <w:szCs w:val="20"/>
          <w:lang w:val="en-US"/>
        </w:rPr>
        <w:t>Conclusion</w:t>
      </w:r>
    </w:p>
    <w:p w14:paraId="798089FE" w14:textId="4326E814" w:rsidR="004C0714" w:rsidRPr="004C0714" w:rsidRDefault="004C0714" w:rsidP="001E313F">
      <w:pPr>
        <w:spacing w:after="0" w:line="240" w:lineRule="auto"/>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On the basis of the internal audit work carried out, which was limited to the tests indicated above, in our view the council’s system of internal controls is in place, adequate for the purpose intended and effective</w:t>
      </w:r>
      <w:r w:rsidR="00F50F73">
        <w:rPr>
          <w:rFonts w:ascii="Times New Roman" w:eastAsia="Times New Roman" w:hAnsi="Times New Roman" w:cs="Times New Roman"/>
          <w:snapToGrid w:val="0"/>
          <w:sz w:val="24"/>
          <w:szCs w:val="20"/>
          <w:lang w:val="en-US"/>
        </w:rPr>
        <w:t>.</w:t>
      </w:r>
      <w:r w:rsidR="00DB06D7">
        <w:rPr>
          <w:rFonts w:ascii="Times New Roman" w:eastAsia="Times New Roman" w:hAnsi="Times New Roman" w:cs="Times New Roman"/>
          <w:snapToGrid w:val="0"/>
          <w:sz w:val="24"/>
          <w:szCs w:val="20"/>
          <w:lang w:val="en-US"/>
        </w:rPr>
        <w:t xml:space="preserve"> </w:t>
      </w:r>
      <w:r w:rsidRPr="004C0714">
        <w:rPr>
          <w:rFonts w:ascii="Times New Roman" w:eastAsia="Times New Roman" w:hAnsi="Times New Roman" w:cs="Times New Roman"/>
          <w:snapToGrid w:val="0"/>
          <w:sz w:val="24"/>
          <w:szCs w:val="20"/>
          <w:lang w:val="en-US"/>
        </w:rPr>
        <w:t>As part of the internal audit work for the next financial year we will follow up all recommendations included in the action plan.</w:t>
      </w:r>
    </w:p>
    <w:p w14:paraId="533ADB9E" w14:textId="77777777" w:rsidR="004C0714" w:rsidRPr="004C0714" w:rsidRDefault="004C0714" w:rsidP="004C0714">
      <w:pPr>
        <w:spacing w:after="0" w:line="240" w:lineRule="auto"/>
        <w:rPr>
          <w:rFonts w:ascii="Times New Roman" w:eastAsia="Times New Roman" w:hAnsi="Times New Roman" w:cs="Times New Roman"/>
          <w:snapToGrid w:val="0"/>
          <w:sz w:val="24"/>
          <w:szCs w:val="20"/>
          <w:lang w:val="en-US"/>
        </w:rPr>
      </w:pPr>
    </w:p>
    <w:p w14:paraId="14083077" w14:textId="77777777" w:rsidR="004C0714" w:rsidRPr="004C0714" w:rsidRDefault="004C0714" w:rsidP="004C0714">
      <w:pPr>
        <w:spacing w:after="0" w:line="240" w:lineRule="auto"/>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 xml:space="preserve">     </w:t>
      </w:r>
    </w:p>
    <w:p w14:paraId="19380692" w14:textId="77777777" w:rsidR="004C0714" w:rsidRPr="004C0714" w:rsidRDefault="004C0714" w:rsidP="004C0714">
      <w:pPr>
        <w:spacing w:after="0" w:line="240" w:lineRule="auto"/>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b/>
          <w:snapToGrid w:val="0"/>
          <w:sz w:val="28"/>
          <w:szCs w:val="20"/>
          <w:lang w:val="en-US"/>
        </w:rPr>
        <w:t>JDH Business Services Limited</w:t>
      </w:r>
    </w:p>
    <w:p w14:paraId="1560D181" w14:textId="77777777" w:rsidR="004C0714" w:rsidRPr="004C0714" w:rsidRDefault="004C0714" w:rsidP="004C071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val="en-US"/>
        </w:rPr>
        <w:sectPr w:rsidR="004C0714" w:rsidRPr="004C0714">
          <w:headerReference w:type="default" r:id="rId10"/>
          <w:footerReference w:type="default" r:id="rId11"/>
          <w:pgSz w:w="15840" w:h="12240" w:orient="landscape"/>
          <w:pgMar w:top="1440" w:right="1440" w:bottom="1440" w:left="1440" w:header="648" w:footer="648" w:gutter="0"/>
          <w:pgNumType w:start="1"/>
          <w:cols w:space="720"/>
        </w:sectPr>
      </w:pPr>
    </w:p>
    <w:p w14:paraId="3E51F9C3" w14:textId="77777777" w:rsidR="004C0714" w:rsidRPr="004C0714" w:rsidRDefault="004C0714" w:rsidP="004C071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val="en-US"/>
        </w:rPr>
      </w:pPr>
    </w:p>
    <w:p w14:paraId="69E774A5" w14:textId="77777777" w:rsidR="004C0714" w:rsidRPr="004C0714" w:rsidRDefault="004C0714" w:rsidP="004C07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bl>
      <w:tblPr>
        <w:tblW w:w="13761" w:type="dxa"/>
        <w:tblInd w:w="108" w:type="dxa"/>
        <w:tblLayout w:type="fixed"/>
        <w:tblLook w:val="0000" w:firstRow="0" w:lastRow="0" w:firstColumn="0" w:lastColumn="0" w:noHBand="0" w:noVBand="0"/>
      </w:tblPr>
      <w:tblGrid>
        <w:gridCol w:w="568"/>
        <w:gridCol w:w="4396"/>
        <w:gridCol w:w="4398"/>
        <w:gridCol w:w="4399"/>
      </w:tblGrid>
      <w:tr w:rsidR="0093463B" w:rsidRPr="0093463B" w14:paraId="0EB1C821" w14:textId="77777777" w:rsidTr="00D83B92">
        <w:trPr>
          <w:tblHeader/>
        </w:trPr>
        <w:tc>
          <w:tcPr>
            <w:tcW w:w="568" w:type="dxa"/>
            <w:tcBorders>
              <w:top w:val="single" w:sz="6" w:space="0" w:color="auto"/>
              <w:left w:val="single" w:sz="6" w:space="0" w:color="auto"/>
              <w:bottom w:val="single" w:sz="6" w:space="0" w:color="auto"/>
              <w:right w:val="single" w:sz="6" w:space="0" w:color="auto"/>
            </w:tcBorders>
            <w:shd w:val="clear" w:color="auto" w:fill="F2F2F2"/>
          </w:tcPr>
          <w:p w14:paraId="332EAC70" w14:textId="77777777" w:rsidR="0093463B" w:rsidRPr="0093463B" w:rsidRDefault="0093463B" w:rsidP="0093463B">
            <w:pPr>
              <w:spacing w:after="0" w:line="240" w:lineRule="auto"/>
              <w:rPr>
                <w:rFonts w:ascii="Times New Roman" w:eastAsia="Times New Roman" w:hAnsi="Times New Roman" w:cs="Times New Roman"/>
                <w:snapToGrid w:val="0"/>
                <w:sz w:val="24"/>
                <w:szCs w:val="20"/>
                <w:lang w:val="en-US"/>
              </w:rPr>
            </w:pPr>
          </w:p>
        </w:tc>
        <w:tc>
          <w:tcPr>
            <w:tcW w:w="4396" w:type="dxa"/>
            <w:tcBorders>
              <w:top w:val="single" w:sz="6" w:space="0" w:color="auto"/>
              <w:left w:val="single" w:sz="6" w:space="0" w:color="auto"/>
              <w:bottom w:val="single" w:sz="6" w:space="0" w:color="auto"/>
              <w:right w:val="single" w:sz="6" w:space="0" w:color="auto"/>
            </w:tcBorders>
            <w:shd w:val="clear" w:color="auto" w:fill="F2F2F2"/>
          </w:tcPr>
          <w:p w14:paraId="209A0B46" w14:textId="77777777" w:rsidR="0093463B" w:rsidRPr="0093463B" w:rsidRDefault="0093463B" w:rsidP="0093463B">
            <w:pPr>
              <w:spacing w:after="0" w:line="240" w:lineRule="auto"/>
              <w:rPr>
                <w:rFonts w:ascii="Times New Roman" w:eastAsia="Times New Roman" w:hAnsi="Times New Roman" w:cs="Times New Roman"/>
                <w:snapToGrid w:val="0"/>
                <w:sz w:val="24"/>
                <w:szCs w:val="20"/>
                <w:lang w:val="en-US"/>
              </w:rPr>
            </w:pPr>
            <w:r w:rsidRPr="0093463B">
              <w:rPr>
                <w:rFonts w:ascii="Times New Roman" w:eastAsia="Times New Roman" w:hAnsi="Times New Roman" w:cs="Times New Roman"/>
                <w:b/>
                <w:snapToGrid w:val="0"/>
                <w:sz w:val="24"/>
                <w:szCs w:val="20"/>
                <w:lang w:val="en-US"/>
              </w:rPr>
              <w:t>ISSUE</w:t>
            </w:r>
          </w:p>
        </w:tc>
        <w:tc>
          <w:tcPr>
            <w:tcW w:w="4398" w:type="dxa"/>
            <w:tcBorders>
              <w:top w:val="single" w:sz="6" w:space="0" w:color="auto"/>
              <w:left w:val="single" w:sz="6" w:space="0" w:color="auto"/>
              <w:bottom w:val="single" w:sz="6" w:space="0" w:color="auto"/>
              <w:right w:val="single" w:sz="6" w:space="0" w:color="auto"/>
            </w:tcBorders>
            <w:shd w:val="clear" w:color="auto" w:fill="F2F2F2"/>
          </w:tcPr>
          <w:p w14:paraId="3A6706B3" w14:textId="77777777" w:rsidR="0093463B" w:rsidRDefault="0093463B" w:rsidP="0093463B">
            <w:pPr>
              <w:spacing w:after="0" w:line="240" w:lineRule="auto"/>
              <w:rPr>
                <w:rFonts w:ascii="Times New Roman" w:eastAsia="Times New Roman" w:hAnsi="Times New Roman" w:cs="Times New Roman"/>
                <w:b/>
                <w:snapToGrid w:val="0"/>
                <w:sz w:val="24"/>
                <w:szCs w:val="20"/>
                <w:lang w:val="en-US"/>
              </w:rPr>
            </w:pPr>
            <w:r w:rsidRPr="0093463B">
              <w:rPr>
                <w:rFonts w:ascii="Times New Roman" w:eastAsia="Times New Roman" w:hAnsi="Times New Roman" w:cs="Times New Roman"/>
                <w:b/>
                <w:snapToGrid w:val="0"/>
                <w:sz w:val="24"/>
                <w:szCs w:val="20"/>
                <w:lang w:val="en-US"/>
              </w:rPr>
              <w:t>RECOMMENDATION</w:t>
            </w:r>
          </w:p>
          <w:p w14:paraId="50AF33F3" w14:textId="5CC987AE" w:rsidR="0093463B" w:rsidRPr="0093463B" w:rsidRDefault="0093463B" w:rsidP="0093463B">
            <w:pPr>
              <w:spacing w:after="0" w:line="240" w:lineRule="auto"/>
              <w:rPr>
                <w:rFonts w:ascii="Times New Roman" w:eastAsia="Times New Roman" w:hAnsi="Times New Roman" w:cs="Times New Roman"/>
                <w:snapToGrid w:val="0"/>
                <w:sz w:val="24"/>
                <w:szCs w:val="20"/>
                <w:lang w:val="en-US"/>
              </w:rPr>
            </w:pPr>
          </w:p>
        </w:tc>
        <w:tc>
          <w:tcPr>
            <w:tcW w:w="4399" w:type="dxa"/>
            <w:tcBorders>
              <w:top w:val="single" w:sz="6" w:space="0" w:color="auto"/>
              <w:left w:val="single" w:sz="6" w:space="0" w:color="auto"/>
              <w:bottom w:val="single" w:sz="6" w:space="0" w:color="auto"/>
              <w:right w:val="single" w:sz="6" w:space="0" w:color="auto"/>
            </w:tcBorders>
            <w:shd w:val="clear" w:color="auto" w:fill="F2F2F2"/>
          </w:tcPr>
          <w:p w14:paraId="6C68E1F8" w14:textId="77777777" w:rsidR="0093463B" w:rsidRPr="0093463B" w:rsidRDefault="0093463B" w:rsidP="0093463B">
            <w:pPr>
              <w:spacing w:after="0" w:line="240" w:lineRule="auto"/>
              <w:rPr>
                <w:rFonts w:ascii="Times New Roman" w:eastAsia="Times New Roman" w:hAnsi="Times New Roman" w:cs="Times New Roman"/>
                <w:b/>
                <w:snapToGrid w:val="0"/>
                <w:sz w:val="24"/>
                <w:szCs w:val="20"/>
                <w:lang w:val="en-US"/>
              </w:rPr>
            </w:pPr>
            <w:r w:rsidRPr="0093463B">
              <w:rPr>
                <w:rFonts w:ascii="Times New Roman" w:eastAsia="Times New Roman" w:hAnsi="Times New Roman" w:cs="Times New Roman"/>
                <w:b/>
                <w:snapToGrid w:val="0"/>
                <w:sz w:val="24"/>
                <w:szCs w:val="20"/>
                <w:lang w:val="en-US"/>
              </w:rPr>
              <w:t>FOLLOW UP</w:t>
            </w:r>
          </w:p>
        </w:tc>
      </w:tr>
      <w:tr w:rsidR="00FD0ED8" w:rsidRPr="0093463B" w14:paraId="524CF6B5" w14:textId="77777777" w:rsidTr="00DA54EC">
        <w:tc>
          <w:tcPr>
            <w:tcW w:w="568" w:type="dxa"/>
            <w:tcBorders>
              <w:top w:val="single" w:sz="6" w:space="0" w:color="auto"/>
              <w:left w:val="single" w:sz="6" w:space="0" w:color="auto"/>
              <w:bottom w:val="single" w:sz="6" w:space="0" w:color="auto"/>
              <w:right w:val="single" w:sz="6" w:space="0" w:color="auto"/>
            </w:tcBorders>
          </w:tcPr>
          <w:p w14:paraId="6DAF5953" w14:textId="1DD8CA82"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1</w:t>
            </w:r>
          </w:p>
        </w:tc>
        <w:tc>
          <w:tcPr>
            <w:tcW w:w="4396" w:type="dxa"/>
            <w:tcBorders>
              <w:top w:val="single" w:sz="4" w:space="0" w:color="auto"/>
              <w:left w:val="single" w:sz="4" w:space="0" w:color="auto"/>
              <w:bottom w:val="single" w:sz="4" w:space="0" w:color="auto"/>
              <w:right w:val="single" w:sz="4" w:space="0" w:color="auto"/>
            </w:tcBorders>
            <w:shd w:val="clear" w:color="auto" w:fill="auto"/>
          </w:tcPr>
          <w:p w14:paraId="2BE1C2A9" w14:textId="77777777" w:rsidR="00FD0ED8" w:rsidRPr="00FD0ED8" w:rsidRDefault="00FD0ED8" w:rsidP="00FD0ED8">
            <w:pPr>
              <w:pStyle w:val="TableText"/>
              <w:tabs>
                <w:tab w:val="left" w:pos="1084"/>
              </w:tabs>
              <w:jc w:val="left"/>
              <w:rPr>
                <w:szCs w:val="24"/>
              </w:rPr>
            </w:pPr>
            <w:r w:rsidRPr="00FD0ED8">
              <w:rPr>
                <w:szCs w:val="24"/>
              </w:rPr>
              <w:t>Internal control objective (Objective M) in the AGAR internal audit certificate requires internal audit to conclude whether the Public Rights Notice during the previous Summer (2019/20 financial year) was compliant with the Regulations.</w:t>
            </w:r>
          </w:p>
          <w:p w14:paraId="0EF59375" w14:textId="77777777" w:rsidR="00FD0ED8" w:rsidRPr="00FD0ED8" w:rsidRDefault="00FD0ED8" w:rsidP="00FD0ED8">
            <w:pPr>
              <w:pStyle w:val="TableText"/>
              <w:tabs>
                <w:tab w:val="left" w:pos="1084"/>
              </w:tabs>
              <w:jc w:val="left"/>
              <w:rPr>
                <w:szCs w:val="24"/>
              </w:rPr>
            </w:pPr>
          </w:p>
          <w:p w14:paraId="7B02B6BE" w14:textId="7E269C9B" w:rsidR="00FD0ED8" w:rsidRP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en-US"/>
              </w:rPr>
            </w:pPr>
            <w:r w:rsidRPr="00FD0ED8">
              <w:rPr>
                <w:rFonts w:ascii="Times New Roman" w:hAnsi="Times New Roman" w:cs="Times New Roman"/>
                <w:sz w:val="24"/>
                <w:szCs w:val="24"/>
              </w:rPr>
              <w:t>However, the council did not secure and retain evidence that the notice was published on the website in accordance with the regulations. Therefore, we have had to select ‘not covered’ in the AGAR internal audit certificate.</w:t>
            </w:r>
            <w:r w:rsidRPr="00FD0ED8">
              <w:rPr>
                <w:rFonts w:ascii="Times New Roman" w:hAnsi="Times New Roman" w:cs="Times New Roman"/>
                <w:sz w:val="24"/>
                <w:szCs w:val="24"/>
              </w:rPr>
              <w:br/>
            </w:r>
          </w:p>
        </w:tc>
        <w:tc>
          <w:tcPr>
            <w:tcW w:w="4398" w:type="dxa"/>
            <w:tcBorders>
              <w:top w:val="single" w:sz="4" w:space="0" w:color="auto"/>
              <w:left w:val="single" w:sz="4" w:space="0" w:color="auto"/>
              <w:bottom w:val="single" w:sz="4" w:space="0" w:color="auto"/>
              <w:right w:val="single" w:sz="4" w:space="0" w:color="auto"/>
            </w:tcBorders>
            <w:shd w:val="clear" w:color="auto" w:fill="auto"/>
          </w:tcPr>
          <w:p w14:paraId="32297EF3" w14:textId="2A52F3DA" w:rsidR="00FD0ED8" w:rsidRPr="00FD0ED8" w:rsidRDefault="00FD0ED8" w:rsidP="00FD0ED8">
            <w:pPr>
              <w:pStyle w:val="TableText"/>
              <w:jc w:val="left"/>
              <w:rPr>
                <w:b/>
                <w:bCs/>
                <w:i/>
                <w:szCs w:val="24"/>
              </w:rPr>
            </w:pPr>
            <w:r w:rsidRPr="00FD0ED8">
              <w:rPr>
                <w:i/>
                <w:iCs/>
                <w:szCs w:val="24"/>
              </w:rPr>
              <w:t>The council must ensure evidence is retained to demonstrate compliance with the legal requirements for the Annual Notice of Public Rights.</w:t>
            </w:r>
          </w:p>
        </w:tc>
        <w:tc>
          <w:tcPr>
            <w:tcW w:w="4399" w:type="dxa"/>
            <w:tcBorders>
              <w:top w:val="single" w:sz="6" w:space="0" w:color="auto"/>
              <w:left w:val="single" w:sz="6" w:space="0" w:color="auto"/>
              <w:bottom w:val="single" w:sz="6" w:space="0" w:color="auto"/>
              <w:right w:val="single" w:sz="6" w:space="0" w:color="auto"/>
            </w:tcBorders>
          </w:tcPr>
          <w:p w14:paraId="7CF807B7" w14:textId="5A517656"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p>
        </w:tc>
      </w:tr>
      <w:tr w:rsidR="00FD0ED8" w:rsidRPr="0093463B" w14:paraId="64112C3D" w14:textId="77777777" w:rsidTr="00CF07A9">
        <w:tc>
          <w:tcPr>
            <w:tcW w:w="568" w:type="dxa"/>
            <w:tcBorders>
              <w:top w:val="single" w:sz="6" w:space="0" w:color="auto"/>
              <w:left w:val="single" w:sz="6" w:space="0" w:color="auto"/>
              <w:bottom w:val="single" w:sz="6" w:space="0" w:color="auto"/>
              <w:right w:val="single" w:sz="6" w:space="0" w:color="auto"/>
            </w:tcBorders>
          </w:tcPr>
          <w:p w14:paraId="625498D6" w14:textId="0235A786" w:rsidR="00FD0ED8" w:rsidRDefault="006966FA"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2</w:t>
            </w:r>
          </w:p>
        </w:tc>
        <w:tc>
          <w:tcPr>
            <w:tcW w:w="4396" w:type="dxa"/>
            <w:tcBorders>
              <w:top w:val="single" w:sz="4" w:space="0" w:color="auto"/>
              <w:left w:val="single" w:sz="6" w:space="0" w:color="auto"/>
              <w:bottom w:val="single" w:sz="6" w:space="0" w:color="auto"/>
              <w:right w:val="single" w:sz="4" w:space="0" w:color="auto"/>
            </w:tcBorders>
          </w:tcPr>
          <w:p w14:paraId="1F382E69" w14:textId="4D0C3885" w:rsidR="00FD0ED8" w:rsidRP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FD0ED8">
              <w:rPr>
                <w:rFonts w:ascii="Times New Roman" w:eastAsia="Times New Roman" w:hAnsi="Times New Roman" w:cs="Times New Roman"/>
                <w:sz w:val="24"/>
                <w:szCs w:val="24"/>
                <w:lang w:val="en-US"/>
              </w:rPr>
              <w:t xml:space="preserve">There is no evidence in </w:t>
            </w:r>
            <w:r w:rsidR="00222D5D">
              <w:rPr>
                <w:rFonts w:ascii="Times New Roman" w:eastAsia="Times New Roman" w:hAnsi="Times New Roman" w:cs="Times New Roman"/>
                <w:sz w:val="24"/>
                <w:szCs w:val="24"/>
                <w:lang w:val="en-US"/>
              </w:rPr>
              <w:t xml:space="preserve">the </w:t>
            </w:r>
            <w:r w:rsidRPr="00FD0ED8">
              <w:rPr>
                <w:rFonts w:ascii="Times New Roman" w:eastAsia="Times New Roman" w:hAnsi="Times New Roman" w:cs="Times New Roman"/>
                <w:sz w:val="24"/>
                <w:szCs w:val="24"/>
                <w:lang w:val="en-US"/>
              </w:rPr>
              <w:t>full council minutes of the council receiving and reviewing regular budgetary control information.</w:t>
            </w:r>
          </w:p>
          <w:p w14:paraId="627831E4"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en-US"/>
              </w:rPr>
            </w:pPr>
          </w:p>
        </w:tc>
        <w:tc>
          <w:tcPr>
            <w:tcW w:w="4398" w:type="dxa"/>
            <w:tcBorders>
              <w:top w:val="single" w:sz="4" w:space="0" w:color="auto"/>
              <w:left w:val="single" w:sz="4" w:space="0" w:color="auto"/>
              <w:bottom w:val="single" w:sz="6" w:space="0" w:color="auto"/>
              <w:right w:val="single" w:sz="6" w:space="0" w:color="auto"/>
            </w:tcBorders>
          </w:tcPr>
          <w:p w14:paraId="381EE41A" w14:textId="1B15770D" w:rsidR="00FD0ED8" w:rsidRDefault="00FD0ED8" w:rsidP="00FD0ED8">
            <w:pPr>
              <w:pStyle w:val="TableText"/>
              <w:tabs>
                <w:tab w:val="left" w:pos="1084"/>
              </w:tabs>
              <w:jc w:val="left"/>
            </w:pPr>
            <w:r>
              <w:t>Progress against the budget should be regularly monitored by council through the review of budgetary control reports.</w:t>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14217EFB" w14:textId="77777777" w:rsidR="00FD0ED8" w:rsidRPr="00886904" w:rsidRDefault="00FD0ED8" w:rsidP="00FD0ED8">
            <w:pPr>
              <w:spacing w:after="0" w:line="240" w:lineRule="auto"/>
              <w:rPr>
                <w:i/>
                <w:iCs/>
                <w:sz w:val="24"/>
                <w:szCs w:val="24"/>
              </w:rPr>
            </w:pPr>
          </w:p>
        </w:tc>
      </w:tr>
      <w:tr w:rsidR="00FD0ED8" w:rsidRPr="0093463B" w14:paraId="1910E2C1" w14:textId="77777777" w:rsidTr="00412A4A">
        <w:tc>
          <w:tcPr>
            <w:tcW w:w="568" w:type="dxa"/>
            <w:tcBorders>
              <w:top w:val="single" w:sz="6" w:space="0" w:color="auto"/>
              <w:left w:val="single" w:sz="6" w:space="0" w:color="auto"/>
              <w:bottom w:val="single" w:sz="6" w:space="0" w:color="auto"/>
              <w:right w:val="single" w:sz="6" w:space="0" w:color="auto"/>
            </w:tcBorders>
          </w:tcPr>
          <w:p w14:paraId="6DA16813" w14:textId="49483D13"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3</w:t>
            </w:r>
          </w:p>
        </w:tc>
        <w:tc>
          <w:tcPr>
            <w:tcW w:w="4396" w:type="dxa"/>
            <w:tcBorders>
              <w:top w:val="single" w:sz="4" w:space="0" w:color="auto"/>
              <w:left w:val="single" w:sz="6" w:space="0" w:color="auto"/>
              <w:bottom w:val="single" w:sz="6" w:space="0" w:color="auto"/>
              <w:right w:val="single" w:sz="4" w:space="0" w:color="auto"/>
            </w:tcBorders>
          </w:tcPr>
          <w:p w14:paraId="2CF21001" w14:textId="30D76429" w:rsidR="00FD0ED8" w:rsidRPr="006966FA" w:rsidRDefault="006966FA"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6966FA">
              <w:rPr>
                <w:rFonts w:ascii="Times New Roman" w:eastAsia="Times New Roman" w:hAnsi="Times New Roman" w:cs="Times New Roman"/>
                <w:sz w:val="24"/>
                <w:szCs w:val="24"/>
                <w:lang w:val="en-US"/>
              </w:rPr>
              <w:t xml:space="preserve">The </w:t>
            </w:r>
            <w:r w:rsidR="00FD0ED8" w:rsidRPr="006966FA">
              <w:rPr>
                <w:rFonts w:ascii="Times New Roman" w:eastAsia="Times New Roman" w:hAnsi="Times New Roman" w:cs="Times New Roman"/>
                <w:sz w:val="24"/>
                <w:szCs w:val="24"/>
                <w:lang w:val="en-US"/>
              </w:rPr>
              <w:t xml:space="preserve">LITE online payment </w:t>
            </w:r>
            <w:r w:rsidRPr="006966FA">
              <w:rPr>
                <w:rFonts w:ascii="Times New Roman" w:eastAsia="Times New Roman" w:hAnsi="Times New Roman" w:cs="Times New Roman"/>
                <w:sz w:val="24"/>
                <w:szCs w:val="24"/>
                <w:lang w:val="en-US"/>
              </w:rPr>
              <w:t xml:space="preserve">was </w:t>
            </w:r>
            <w:r w:rsidR="00FD0ED8" w:rsidRPr="006966FA">
              <w:rPr>
                <w:rFonts w:ascii="Times New Roman" w:eastAsia="Times New Roman" w:hAnsi="Times New Roman" w:cs="Times New Roman"/>
                <w:sz w:val="24"/>
                <w:szCs w:val="24"/>
                <w:lang w:val="en-US"/>
              </w:rPr>
              <w:t>not signed by 2 councillors to evidence authorised in advance as per FRs.</w:t>
            </w:r>
          </w:p>
          <w:p w14:paraId="64229770" w14:textId="3A6417CE" w:rsidR="00FD0ED8" w:rsidRPr="00FA2D75"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en-US"/>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14:paraId="1E188B51" w14:textId="74A09ABB" w:rsidR="00FD0ED8" w:rsidRPr="006966FA" w:rsidRDefault="006966FA" w:rsidP="00FD0ED8">
            <w:pPr>
              <w:pStyle w:val="TableText"/>
              <w:jc w:val="left"/>
              <w:rPr>
                <w:i/>
              </w:rPr>
            </w:pPr>
            <w:r w:rsidRPr="006966FA">
              <w:rPr>
                <w:i/>
              </w:rPr>
              <w:t>Online payments should be authorised by two councillors as required by the Financial Regulations</w:t>
            </w:r>
            <w:r>
              <w:rPr>
                <w:i/>
              </w:rPr>
              <w:t>.</w:t>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2EA55DEC" w14:textId="5DFE4BA4"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p>
        </w:tc>
      </w:tr>
      <w:tr w:rsidR="00FD0ED8" w:rsidRPr="0093463B" w14:paraId="68B44A97" w14:textId="77777777" w:rsidTr="00D83B92">
        <w:tc>
          <w:tcPr>
            <w:tcW w:w="568" w:type="dxa"/>
            <w:tcBorders>
              <w:top w:val="single" w:sz="6" w:space="0" w:color="auto"/>
              <w:left w:val="single" w:sz="6" w:space="0" w:color="auto"/>
              <w:bottom w:val="single" w:sz="6" w:space="0" w:color="auto"/>
              <w:right w:val="single" w:sz="6" w:space="0" w:color="auto"/>
            </w:tcBorders>
          </w:tcPr>
          <w:p w14:paraId="0A6170B5" w14:textId="3767E329"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4</w:t>
            </w:r>
          </w:p>
        </w:tc>
        <w:tc>
          <w:tcPr>
            <w:tcW w:w="4396" w:type="dxa"/>
            <w:tcBorders>
              <w:top w:val="single" w:sz="4" w:space="0" w:color="auto"/>
              <w:left w:val="single" w:sz="6" w:space="0" w:color="auto"/>
              <w:bottom w:val="single" w:sz="6" w:space="0" w:color="auto"/>
              <w:right w:val="single" w:sz="4" w:space="0" w:color="auto"/>
            </w:tcBorders>
          </w:tcPr>
          <w:p w14:paraId="7BEBE98E" w14:textId="77777777" w:rsidR="00FD0ED8" w:rsidRPr="0028395F"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28395F">
              <w:rPr>
                <w:rFonts w:ascii="Times New Roman" w:eastAsia="Times New Roman" w:hAnsi="Times New Roman" w:cs="Times New Roman"/>
                <w:sz w:val="24"/>
                <w:szCs w:val="24"/>
                <w:lang w:val="en-US"/>
              </w:rPr>
              <w:t>General reserves are in excess of 100% of the precept. Sector guidance is that the general reserves of the council, which represent the contingency for unforeseen events, should be between 25% and 100% of the annual precept.</w:t>
            </w:r>
          </w:p>
          <w:p w14:paraId="5A793DCA" w14:textId="77777777" w:rsidR="00FD0ED8" w:rsidRPr="0028395F"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20A413C3" w14:textId="2097B40C" w:rsidR="00FD0ED8" w:rsidRPr="0028395F"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28395F">
              <w:rPr>
                <w:rFonts w:ascii="Times New Roman" w:eastAsia="Times New Roman" w:hAnsi="Times New Roman" w:cs="Times New Roman"/>
                <w:sz w:val="24"/>
                <w:szCs w:val="24"/>
                <w:lang w:val="en-US"/>
              </w:rPr>
              <w:t>There appears to be an earmarked reserve of £35,000 but this is not clearly disclosed as an end of year earmarked reserves</w:t>
            </w:r>
            <w:r w:rsidR="00222D5D">
              <w:rPr>
                <w:rFonts w:ascii="Times New Roman" w:eastAsia="Times New Roman" w:hAnsi="Times New Roman" w:cs="Times New Roman"/>
                <w:sz w:val="24"/>
                <w:szCs w:val="24"/>
                <w:lang w:val="en-US"/>
              </w:rPr>
              <w:t xml:space="preserve"> statement</w:t>
            </w:r>
            <w:r w:rsidRPr="0028395F">
              <w:rPr>
                <w:rFonts w:ascii="Times New Roman" w:eastAsia="Times New Roman" w:hAnsi="Times New Roman" w:cs="Times New Roman"/>
                <w:sz w:val="24"/>
                <w:szCs w:val="24"/>
                <w:lang w:val="en-US"/>
              </w:rPr>
              <w:t xml:space="preserve"> approved by full council. </w:t>
            </w:r>
          </w:p>
          <w:p w14:paraId="572D7405" w14:textId="3738FF3A" w:rsidR="00FD0ED8" w:rsidRPr="004E6DFE"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en-US"/>
              </w:rPr>
            </w:pPr>
          </w:p>
        </w:tc>
        <w:tc>
          <w:tcPr>
            <w:tcW w:w="4398" w:type="dxa"/>
            <w:tcBorders>
              <w:top w:val="single" w:sz="4" w:space="0" w:color="auto"/>
              <w:left w:val="single" w:sz="4" w:space="0" w:color="auto"/>
              <w:bottom w:val="single" w:sz="6" w:space="0" w:color="auto"/>
              <w:right w:val="single" w:sz="6" w:space="0" w:color="auto"/>
            </w:tcBorders>
          </w:tcPr>
          <w:p w14:paraId="5AE48747" w14:textId="07421CB1" w:rsidR="00FD0ED8" w:rsidRPr="0028395F" w:rsidRDefault="0028395F" w:rsidP="00FD0ED8">
            <w:pPr>
              <w:pStyle w:val="TableText"/>
              <w:jc w:val="left"/>
              <w:rPr>
                <w:i/>
              </w:rPr>
            </w:pPr>
            <w:r w:rsidRPr="0028395F">
              <w:rPr>
                <w:i/>
              </w:rPr>
              <w:t>The council should annually review the adequacy of the level of general and earmarked reserves with reference to sector guidance.</w:t>
            </w:r>
          </w:p>
          <w:p w14:paraId="3FE1032B" w14:textId="77777777" w:rsidR="0028395F" w:rsidRPr="0028395F" w:rsidRDefault="0028395F" w:rsidP="00FD0ED8">
            <w:pPr>
              <w:pStyle w:val="TableText"/>
              <w:jc w:val="left"/>
              <w:rPr>
                <w:i/>
              </w:rPr>
            </w:pPr>
          </w:p>
          <w:p w14:paraId="05C8BA5D" w14:textId="1183C5A6" w:rsidR="0028395F" w:rsidRDefault="0028395F" w:rsidP="00FD0ED8">
            <w:pPr>
              <w:pStyle w:val="TableText"/>
              <w:jc w:val="left"/>
              <w:rPr>
                <w:b/>
                <w:bCs/>
                <w:i/>
              </w:rPr>
            </w:pPr>
            <w:r w:rsidRPr="0028395F">
              <w:rPr>
                <w:i/>
              </w:rPr>
              <w:t>Year end earmarked reserves should be clearly disclosed in the accounts and authorised by full council.</w:t>
            </w:r>
          </w:p>
        </w:tc>
        <w:tc>
          <w:tcPr>
            <w:tcW w:w="4399" w:type="dxa"/>
            <w:tcBorders>
              <w:top w:val="single" w:sz="6" w:space="0" w:color="auto"/>
              <w:left w:val="single" w:sz="6" w:space="0" w:color="auto"/>
              <w:bottom w:val="single" w:sz="6" w:space="0" w:color="auto"/>
              <w:right w:val="single" w:sz="6" w:space="0" w:color="auto"/>
            </w:tcBorders>
          </w:tcPr>
          <w:p w14:paraId="00A22D66" w14:textId="77777777"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p>
        </w:tc>
      </w:tr>
      <w:tr w:rsidR="00FD0ED8" w:rsidRPr="0093463B" w14:paraId="681CE41C" w14:textId="77777777" w:rsidTr="00D83B92">
        <w:tc>
          <w:tcPr>
            <w:tcW w:w="568" w:type="dxa"/>
            <w:tcBorders>
              <w:top w:val="single" w:sz="6" w:space="0" w:color="auto"/>
              <w:left w:val="single" w:sz="6" w:space="0" w:color="auto"/>
              <w:bottom w:val="single" w:sz="6" w:space="0" w:color="auto"/>
              <w:right w:val="single" w:sz="6" w:space="0" w:color="auto"/>
            </w:tcBorders>
          </w:tcPr>
          <w:p w14:paraId="13D8CA99" w14:textId="27825F55"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5</w:t>
            </w:r>
          </w:p>
        </w:tc>
        <w:tc>
          <w:tcPr>
            <w:tcW w:w="4396" w:type="dxa"/>
            <w:tcBorders>
              <w:top w:val="single" w:sz="4" w:space="0" w:color="auto"/>
              <w:left w:val="single" w:sz="6" w:space="0" w:color="auto"/>
              <w:bottom w:val="single" w:sz="6" w:space="0" w:color="auto"/>
              <w:right w:val="single" w:sz="4" w:space="0" w:color="auto"/>
            </w:tcBorders>
          </w:tcPr>
          <w:p w14:paraId="7993048D" w14:textId="74A30305" w:rsidR="00011C43" w:rsidRPr="00011C43" w:rsidRDefault="0028395F" w:rsidP="0028395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011C43">
              <w:rPr>
                <w:rFonts w:ascii="Times New Roman" w:eastAsia="Times New Roman" w:hAnsi="Times New Roman" w:cs="Times New Roman"/>
                <w:sz w:val="24"/>
                <w:szCs w:val="24"/>
                <w:lang w:val="en-US"/>
              </w:rPr>
              <w:t xml:space="preserve">The football field valuation method has changed </w:t>
            </w:r>
            <w:r w:rsidR="00011C43" w:rsidRPr="00011C43">
              <w:rPr>
                <w:rFonts w:ascii="Times New Roman" w:eastAsia="Times New Roman" w:hAnsi="Times New Roman" w:cs="Times New Roman"/>
                <w:sz w:val="24"/>
                <w:szCs w:val="24"/>
                <w:lang w:val="en-US"/>
              </w:rPr>
              <w:t>which</w:t>
            </w:r>
            <w:r w:rsidRPr="00011C43">
              <w:rPr>
                <w:rFonts w:ascii="Times New Roman" w:eastAsia="Times New Roman" w:hAnsi="Times New Roman" w:cs="Times New Roman"/>
                <w:sz w:val="24"/>
                <w:szCs w:val="24"/>
                <w:lang w:val="en-US"/>
              </w:rPr>
              <w:t xml:space="preserve"> has resulted in a reduction in value from £11050 to £1.</w:t>
            </w:r>
            <w:r w:rsidR="00011C43" w:rsidRPr="00011C43">
              <w:rPr>
                <w:rFonts w:ascii="Times New Roman" w:eastAsia="Times New Roman" w:hAnsi="Times New Roman" w:cs="Times New Roman"/>
                <w:sz w:val="24"/>
                <w:szCs w:val="24"/>
                <w:lang w:val="en-US"/>
              </w:rPr>
              <w:t xml:space="preserve"> In addition, a number of changes to the land and property assets were requested by the external auditor in the prior year audit. The Practitioner’s Guide states the following:</w:t>
            </w:r>
          </w:p>
          <w:p w14:paraId="7E0573CB" w14:textId="77777777" w:rsidR="00011C43" w:rsidRPr="00011C43" w:rsidRDefault="00011C43" w:rsidP="0028395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35283181" w14:textId="05351A1A" w:rsidR="00011C43" w:rsidRPr="00011C43" w:rsidRDefault="0028395F" w:rsidP="00011C43">
            <w:pPr>
              <w:autoSpaceDE w:val="0"/>
              <w:autoSpaceDN w:val="0"/>
              <w:adjustRightInd w:val="0"/>
              <w:spacing w:after="0" w:line="240" w:lineRule="auto"/>
              <w:rPr>
                <w:rFonts w:ascii="Times New Roman" w:hAnsi="Times New Roman" w:cs="Times New Roman"/>
                <w:i/>
                <w:iCs/>
                <w:sz w:val="20"/>
                <w:szCs w:val="20"/>
              </w:rPr>
            </w:pPr>
            <w:r w:rsidRPr="00011C43">
              <w:rPr>
                <w:rFonts w:ascii="Times New Roman" w:eastAsia="Times New Roman" w:hAnsi="Times New Roman" w:cs="Times New Roman"/>
                <w:sz w:val="24"/>
                <w:szCs w:val="24"/>
                <w:lang w:val="en-US"/>
              </w:rPr>
              <w:t xml:space="preserve"> </w:t>
            </w:r>
            <w:r w:rsidR="00011C43" w:rsidRPr="00011C43">
              <w:rPr>
                <w:rFonts w:ascii="Times New Roman" w:hAnsi="Times New Roman" w:cs="Times New Roman"/>
                <w:i/>
                <w:iCs/>
                <w:sz w:val="20"/>
                <w:szCs w:val="20"/>
              </w:rPr>
              <w:t>2.27. The value of the cell at Line 9 is taken from the authority’s asset register which is up-to-date at 31 March and includes all acquisition and disposal</w:t>
            </w:r>
          </w:p>
          <w:p w14:paraId="40330945" w14:textId="4446509E" w:rsidR="00011C43" w:rsidRPr="00011C43" w:rsidRDefault="00011C43" w:rsidP="00011C43">
            <w:pPr>
              <w:autoSpaceDE w:val="0"/>
              <w:autoSpaceDN w:val="0"/>
              <w:adjustRightInd w:val="0"/>
              <w:spacing w:after="0" w:line="240" w:lineRule="auto"/>
              <w:rPr>
                <w:rFonts w:ascii="Times New Roman" w:hAnsi="Times New Roman" w:cs="Times New Roman"/>
                <w:i/>
                <w:iCs/>
                <w:sz w:val="20"/>
                <w:szCs w:val="20"/>
              </w:rPr>
            </w:pPr>
            <w:r w:rsidRPr="00011C43">
              <w:rPr>
                <w:rFonts w:ascii="Times New Roman" w:hAnsi="Times New Roman" w:cs="Times New Roman"/>
                <w:i/>
                <w:iCs/>
                <w:sz w:val="20"/>
                <w:szCs w:val="20"/>
              </w:rPr>
              <w:t>transactions recorded in the cash-book during the year. Long term loan assets should be included at the amount originally advanced, less any subsequent repayments. Authorities need to apply a reasonable approach to asset valuation which is consistent from year to year. Where an authority</w:t>
            </w:r>
          </w:p>
          <w:p w14:paraId="23CC2C0C" w14:textId="77777777" w:rsidR="00FD0ED8" w:rsidRPr="00011C43" w:rsidRDefault="00011C43" w:rsidP="00011C43">
            <w:pPr>
              <w:autoSpaceDE w:val="0"/>
              <w:autoSpaceDN w:val="0"/>
              <w:adjustRightInd w:val="0"/>
              <w:spacing w:after="0" w:line="240" w:lineRule="auto"/>
              <w:rPr>
                <w:rFonts w:ascii="Times New Roman" w:hAnsi="Times New Roman" w:cs="Times New Roman"/>
                <w:i/>
                <w:iCs/>
                <w:sz w:val="20"/>
                <w:szCs w:val="20"/>
              </w:rPr>
            </w:pPr>
            <w:r w:rsidRPr="00011C43">
              <w:rPr>
                <w:rFonts w:ascii="Times New Roman" w:hAnsi="Times New Roman" w:cs="Times New Roman"/>
                <w:i/>
                <w:iCs/>
                <w:sz w:val="20"/>
                <w:szCs w:val="20"/>
              </w:rPr>
              <w:t>changes its method of asset valuation during a financial year, it will need to restate the prior year’s figure in Line 9 of the Annual Governance and Accountability Return.</w:t>
            </w:r>
          </w:p>
          <w:p w14:paraId="46570166" w14:textId="77777777" w:rsidR="00011C43" w:rsidRPr="00011C43" w:rsidRDefault="00011C43" w:rsidP="00011C43">
            <w:pPr>
              <w:autoSpaceDE w:val="0"/>
              <w:autoSpaceDN w:val="0"/>
              <w:adjustRightInd w:val="0"/>
              <w:spacing w:after="0" w:line="240" w:lineRule="auto"/>
              <w:rPr>
                <w:rFonts w:ascii="Times New Roman" w:hAnsi="Times New Roman" w:cs="Times New Roman"/>
                <w:i/>
                <w:iCs/>
                <w:sz w:val="20"/>
                <w:szCs w:val="20"/>
              </w:rPr>
            </w:pPr>
          </w:p>
          <w:p w14:paraId="27539FCF" w14:textId="77777777" w:rsidR="00011C43" w:rsidRPr="00011C43" w:rsidRDefault="00011C43" w:rsidP="00011C43">
            <w:pPr>
              <w:autoSpaceDE w:val="0"/>
              <w:autoSpaceDN w:val="0"/>
              <w:adjustRightInd w:val="0"/>
              <w:spacing w:after="0" w:line="240" w:lineRule="auto"/>
              <w:rPr>
                <w:rFonts w:ascii="Times New Roman" w:hAnsi="Times New Roman" w:cs="Times New Roman"/>
                <w:sz w:val="24"/>
                <w:szCs w:val="24"/>
              </w:rPr>
            </w:pPr>
            <w:r w:rsidRPr="00011C43">
              <w:rPr>
                <w:rFonts w:ascii="Times New Roman" w:hAnsi="Times New Roman" w:cs="Times New Roman"/>
                <w:sz w:val="24"/>
                <w:szCs w:val="24"/>
              </w:rPr>
              <w:t xml:space="preserve">Therefore, the council need to restate the 2019/20 AGAR comparative figure for fixed assets on a consistent basis with 2020/21. </w:t>
            </w:r>
          </w:p>
          <w:p w14:paraId="7EE10381" w14:textId="6847D8C3" w:rsidR="00011C43" w:rsidRPr="00011C43" w:rsidRDefault="00011C43" w:rsidP="00011C43">
            <w:pPr>
              <w:autoSpaceDE w:val="0"/>
              <w:autoSpaceDN w:val="0"/>
              <w:adjustRightInd w:val="0"/>
              <w:spacing w:after="0" w:line="240" w:lineRule="auto"/>
              <w:rPr>
                <w:rFonts w:ascii="Times New Roman" w:hAnsi="Times New Roman" w:cs="Times New Roman"/>
                <w:i/>
                <w:iCs/>
                <w:sz w:val="20"/>
                <w:szCs w:val="20"/>
              </w:rPr>
            </w:pPr>
          </w:p>
        </w:tc>
        <w:tc>
          <w:tcPr>
            <w:tcW w:w="4398" w:type="dxa"/>
            <w:tcBorders>
              <w:top w:val="single" w:sz="4" w:space="0" w:color="auto"/>
              <w:left w:val="single" w:sz="4" w:space="0" w:color="auto"/>
              <w:bottom w:val="single" w:sz="6" w:space="0" w:color="auto"/>
              <w:right w:val="single" w:sz="6" w:space="0" w:color="auto"/>
            </w:tcBorders>
          </w:tcPr>
          <w:p w14:paraId="19506759" w14:textId="7B3FCB36" w:rsidR="00FD0ED8" w:rsidRPr="00011C43" w:rsidRDefault="00011C43" w:rsidP="0028395F">
            <w:pPr>
              <w:pStyle w:val="TableText"/>
              <w:jc w:val="left"/>
              <w:rPr>
                <w:i/>
              </w:rPr>
            </w:pPr>
            <w:r w:rsidRPr="00011C43">
              <w:rPr>
                <w:i/>
              </w:rPr>
              <w:t xml:space="preserve">Where changes in valuation methods are applied to fixed assets, the prior year </w:t>
            </w:r>
            <w:r>
              <w:rPr>
                <w:i/>
              </w:rPr>
              <w:t>AGAR</w:t>
            </w:r>
            <w:r w:rsidRPr="00011C43">
              <w:rPr>
                <w:i/>
              </w:rPr>
              <w:t xml:space="preserve"> comparatives must be restated on a consistent basis. This will also apply to fixed assets identified that were also owned in the prior year but had been omitted from the asset register.</w:t>
            </w:r>
          </w:p>
        </w:tc>
        <w:tc>
          <w:tcPr>
            <w:tcW w:w="4399" w:type="dxa"/>
            <w:tcBorders>
              <w:top w:val="single" w:sz="6" w:space="0" w:color="auto"/>
              <w:left w:val="single" w:sz="6" w:space="0" w:color="auto"/>
              <w:bottom w:val="single" w:sz="6" w:space="0" w:color="auto"/>
              <w:right w:val="single" w:sz="6" w:space="0" w:color="auto"/>
            </w:tcBorders>
          </w:tcPr>
          <w:p w14:paraId="3C9981FF" w14:textId="77777777"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p>
        </w:tc>
      </w:tr>
      <w:tr w:rsidR="00FD0ED8" w:rsidRPr="0093463B" w14:paraId="45AD4195" w14:textId="77777777" w:rsidTr="00784441">
        <w:tc>
          <w:tcPr>
            <w:tcW w:w="13761" w:type="dxa"/>
            <w:gridSpan w:val="4"/>
            <w:tcBorders>
              <w:top w:val="single" w:sz="6" w:space="0" w:color="auto"/>
              <w:left w:val="single" w:sz="6" w:space="0" w:color="auto"/>
              <w:bottom w:val="single" w:sz="6" w:space="0" w:color="auto"/>
              <w:right w:val="single" w:sz="6" w:space="0" w:color="auto"/>
            </w:tcBorders>
          </w:tcPr>
          <w:p w14:paraId="37279414" w14:textId="77777777" w:rsidR="00FD0ED8" w:rsidRDefault="00FD0ED8" w:rsidP="00FD0ED8">
            <w:pPr>
              <w:spacing w:after="0" w:line="240" w:lineRule="auto"/>
              <w:rPr>
                <w:rFonts w:ascii="Times New Roman" w:eastAsia="Times New Roman" w:hAnsi="Times New Roman" w:cs="Times New Roman"/>
                <w:b/>
                <w:snapToGrid w:val="0"/>
                <w:sz w:val="24"/>
                <w:szCs w:val="20"/>
                <w:lang w:val="en-US"/>
              </w:rPr>
            </w:pPr>
          </w:p>
          <w:p w14:paraId="609DB941" w14:textId="77777777" w:rsidR="00FD0ED8"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2019/20 internal audit</w:t>
            </w:r>
          </w:p>
          <w:p w14:paraId="372FF3EB" w14:textId="45476FED"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p>
        </w:tc>
      </w:tr>
      <w:tr w:rsidR="00FD0ED8" w:rsidRPr="0093463B" w14:paraId="456D7431" w14:textId="77777777" w:rsidTr="00D83B92">
        <w:tc>
          <w:tcPr>
            <w:tcW w:w="568" w:type="dxa"/>
            <w:tcBorders>
              <w:top w:val="single" w:sz="6" w:space="0" w:color="auto"/>
              <w:left w:val="single" w:sz="6" w:space="0" w:color="auto"/>
              <w:bottom w:val="single" w:sz="6" w:space="0" w:color="auto"/>
              <w:right w:val="single" w:sz="6" w:space="0" w:color="auto"/>
            </w:tcBorders>
          </w:tcPr>
          <w:p w14:paraId="7AEE9898" w14:textId="1E85C3C4"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1</w:t>
            </w:r>
          </w:p>
        </w:tc>
        <w:tc>
          <w:tcPr>
            <w:tcW w:w="4396" w:type="dxa"/>
            <w:tcBorders>
              <w:top w:val="single" w:sz="4" w:space="0" w:color="auto"/>
              <w:left w:val="single" w:sz="6" w:space="0" w:color="auto"/>
              <w:bottom w:val="single" w:sz="6" w:space="0" w:color="auto"/>
              <w:right w:val="single" w:sz="4" w:space="0" w:color="auto"/>
            </w:tcBorders>
          </w:tcPr>
          <w:p w14:paraId="50D6FE39" w14:textId="77777777" w:rsidR="00FD0ED8" w:rsidRPr="00FA2D75"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en-US"/>
              </w:rPr>
            </w:pPr>
            <w:r w:rsidRPr="00FA2D75">
              <w:rPr>
                <w:rFonts w:ascii="Times New Roman" w:eastAsia="Times New Roman" w:hAnsi="Times New Roman" w:cs="Times New Roman"/>
                <w:b/>
                <w:bCs/>
                <w:sz w:val="24"/>
                <w:szCs w:val="24"/>
                <w:lang w:val="en-US"/>
              </w:rPr>
              <w:t>RECURRING ISSUE</w:t>
            </w:r>
          </w:p>
          <w:p w14:paraId="350002BC" w14:textId="77777777" w:rsidR="00FD0ED8" w:rsidRDefault="00FD0ED8" w:rsidP="00FD0ED8">
            <w:pPr>
              <w:spacing w:after="0" w:line="240" w:lineRule="auto"/>
              <w:rPr>
                <w:rFonts w:ascii="Times New Roman" w:eastAsia="Times New Roman" w:hAnsi="Times New Roman" w:cs="Times New Roman"/>
                <w:b/>
                <w:bCs/>
                <w:sz w:val="24"/>
                <w:szCs w:val="24"/>
                <w:lang w:eastAsia="en-GB"/>
              </w:rPr>
            </w:pPr>
          </w:p>
          <w:p w14:paraId="2AD1E1FA" w14:textId="77777777" w:rsidR="00FD0ED8" w:rsidRDefault="00FD0ED8" w:rsidP="00FD0ED8">
            <w:pPr>
              <w:spacing w:after="0" w:line="240" w:lineRule="auto"/>
              <w:rPr>
                <w:rFonts w:ascii="Times New Roman" w:eastAsia="Times New Roman" w:hAnsi="Times New Roman" w:cs="Times New Roman"/>
                <w:b/>
                <w:bCs/>
                <w:sz w:val="24"/>
                <w:szCs w:val="24"/>
                <w:lang w:eastAsia="en-GB"/>
              </w:rPr>
            </w:pPr>
          </w:p>
          <w:p w14:paraId="0C44A36D" w14:textId="393BD4DB" w:rsidR="00FD0ED8" w:rsidRPr="0086273E" w:rsidRDefault="00FD0ED8" w:rsidP="00FD0ED8">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From April 2019 to the end of October 2019 the clerk/RFO function was delivered by a personal service company. </w:t>
            </w:r>
          </w:p>
          <w:p w14:paraId="403E39EE" w14:textId="77777777" w:rsidR="00FD0ED8" w:rsidRPr="0086273E" w:rsidRDefault="00FD0ED8" w:rsidP="00FD0ED8">
            <w:pPr>
              <w:spacing w:after="0" w:line="240" w:lineRule="auto"/>
              <w:rPr>
                <w:rFonts w:ascii="Times New Roman" w:eastAsia="Times New Roman" w:hAnsi="Times New Roman" w:cs="Times New Roman"/>
                <w:b/>
                <w:bCs/>
                <w:sz w:val="24"/>
                <w:szCs w:val="24"/>
                <w:lang w:eastAsia="en-GB"/>
              </w:rPr>
            </w:pPr>
          </w:p>
          <w:p w14:paraId="2E41352E" w14:textId="77777777" w:rsidR="00FD0ED8" w:rsidRPr="0086273E" w:rsidRDefault="00FD0ED8" w:rsidP="00FD0ED8">
            <w:pPr>
              <w:spacing w:after="0" w:line="240" w:lineRule="auto"/>
              <w:rPr>
                <w:rFonts w:ascii="Times New Roman" w:eastAsia="Times New Roman" w:hAnsi="Times New Roman" w:cs="Times New Roman"/>
                <w:b/>
                <w:bCs/>
                <w:sz w:val="24"/>
                <w:szCs w:val="24"/>
                <w:lang w:eastAsia="en-GB"/>
              </w:rPr>
            </w:pPr>
            <w:r w:rsidRPr="0086273E">
              <w:rPr>
                <w:rFonts w:ascii="Times New Roman" w:eastAsia="Times New Roman" w:hAnsi="Times New Roman" w:cs="Times New Roman"/>
                <w:b/>
                <w:bCs/>
                <w:sz w:val="24"/>
                <w:szCs w:val="24"/>
                <w:lang w:eastAsia="en-GB"/>
              </w:rPr>
              <w:t>S151 of the L.G. Act 1972 requires the parish council to appoint a Responsible Financial Officer (RFO). A limited company cannot perform the RFO role of a parish council as the RFO has to be a living person. Therefore the council has been operating in breach of the L.G. Act 1972.</w:t>
            </w:r>
          </w:p>
          <w:p w14:paraId="2E60EC04" w14:textId="77777777" w:rsidR="00FD0ED8" w:rsidRDefault="00FD0ED8" w:rsidP="00FD0ED8">
            <w:pPr>
              <w:rPr>
                <w:rFonts w:ascii="Times New Roman" w:hAnsi="Times New Roman" w:cs="Times New Roman"/>
                <w:b/>
                <w:bCs/>
                <w:color w:val="212121"/>
                <w:sz w:val="24"/>
                <w:szCs w:val="24"/>
              </w:rPr>
            </w:pPr>
          </w:p>
        </w:tc>
        <w:tc>
          <w:tcPr>
            <w:tcW w:w="4398" w:type="dxa"/>
            <w:tcBorders>
              <w:top w:val="single" w:sz="4" w:space="0" w:color="auto"/>
              <w:left w:val="single" w:sz="4" w:space="0" w:color="auto"/>
              <w:bottom w:val="single" w:sz="6" w:space="0" w:color="auto"/>
              <w:right w:val="single" w:sz="6" w:space="0" w:color="auto"/>
            </w:tcBorders>
          </w:tcPr>
          <w:p w14:paraId="4513E81A" w14:textId="019EA1AC" w:rsidR="00FD0ED8" w:rsidRDefault="00FD0ED8" w:rsidP="00FD0ED8">
            <w:pPr>
              <w:pStyle w:val="TableText"/>
              <w:jc w:val="left"/>
              <w:rPr>
                <w:b/>
                <w:bCs/>
                <w:i/>
              </w:rPr>
            </w:pPr>
            <w:r>
              <w:rPr>
                <w:b/>
                <w:bCs/>
                <w:i/>
              </w:rPr>
              <w:t>The limited company arrangement for clerk/RFO services ceased at the end of October 2019.</w:t>
            </w:r>
          </w:p>
          <w:p w14:paraId="72313B8B" w14:textId="77777777" w:rsidR="00FD0ED8" w:rsidRDefault="00FD0ED8" w:rsidP="00FD0ED8">
            <w:pPr>
              <w:pStyle w:val="TableText"/>
              <w:jc w:val="left"/>
              <w:rPr>
                <w:b/>
                <w:bCs/>
                <w:i/>
              </w:rPr>
            </w:pPr>
          </w:p>
          <w:p w14:paraId="534946F3" w14:textId="27BBFEF8" w:rsidR="00FD0ED8" w:rsidRPr="0086273E" w:rsidRDefault="00FD0ED8" w:rsidP="00FD0ED8">
            <w:pPr>
              <w:pStyle w:val="TableText"/>
              <w:jc w:val="left"/>
              <w:rPr>
                <w:b/>
                <w:bCs/>
                <w:i/>
              </w:rPr>
            </w:pPr>
            <w:r w:rsidRPr="0086273E">
              <w:rPr>
                <w:b/>
                <w:bCs/>
                <w:i/>
              </w:rPr>
              <w:t xml:space="preserve">HMRC issued guidance in March 2011 setting out the correct Income Tax and NIC treatment of parish clerks. This guidance confirms that a parish clerk is an office holder and that all office holders are subject to PAYE. This means that parish clerks: </w:t>
            </w:r>
          </w:p>
          <w:p w14:paraId="3D33CC44" w14:textId="77777777" w:rsidR="00FD0ED8" w:rsidRPr="0086273E" w:rsidRDefault="00FD0ED8" w:rsidP="00FD0ED8">
            <w:pPr>
              <w:pStyle w:val="TableText"/>
              <w:ind w:left="720"/>
              <w:jc w:val="left"/>
              <w:rPr>
                <w:b/>
                <w:bCs/>
                <w:i/>
              </w:rPr>
            </w:pPr>
            <w:r w:rsidRPr="0086273E">
              <w:rPr>
                <w:b/>
                <w:bCs/>
                <w:i/>
              </w:rPr>
              <w:sym w:font="Symbol" w:char="F0B7"/>
            </w:r>
            <w:r w:rsidRPr="0086273E">
              <w:rPr>
                <w:b/>
                <w:bCs/>
                <w:i/>
              </w:rPr>
              <w:t xml:space="preserve"> can never be considered as self-employed for tax or NIC purposes; </w:t>
            </w:r>
            <w:r w:rsidRPr="0086273E">
              <w:rPr>
                <w:b/>
                <w:bCs/>
                <w:i/>
              </w:rPr>
              <w:sym w:font="Symbol" w:char="F0B7"/>
            </w:r>
            <w:r w:rsidRPr="0086273E">
              <w:rPr>
                <w:b/>
                <w:bCs/>
                <w:i/>
              </w:rPr>
              <w:t xml:space="preserve"> cannot be paid ‘gross’; and </w:t>
            </w:r>
          </w:p>
          <w:p w14:paraId="07302D70" w14:textId="77777777" w:rsidR="00FD0ED8" w:rsidRPr="0086273E" w:rsidRDefault="00FD0ED8" w:rsidP="00FD0ED8">
            <w:pPr>
              <w:pStyle w:val="TableText"/>
              <w:ind w:left="720"/>
              <w:jc w:val="left"/>
              <w:rPr>
                <w:b/>
                <w:bCs/>
                <w:i/>
              </w:rPr>
            </w:pPr>
            <w:r w:rsidRPr="0086273E">
              <w:rPr>
                <w:b/>
                <w:bCs/>
                <w:i/>
              </w:rPr>
              <w:sym w:font="Symbol" w:char="F0B7"/>
            </w:r>
            <w:r w:rsidRPr="0086273E">
              <w:rPr>
                <w:b/>
                <w:bCs/>
                <w:i/>
              </w:rPr>
              <w:t xml:space="preserve"> fall to be taxed under PAYE</w:t>
            </w:r>
          </w:p>
          <w:p w14:paraId="5E4BE845" w14:textId="77777777" w:rsidR="00FD0ED8" w:rsidRPr="0086273E" w:rsidRDefault="00FD0ED8" w:rsidP="00FD0ED8">
            <w:pPr>
              <w:spacing w:after="0" w:line="240" w:lineRule="auto"/>
              <w:rPr>
                <w:rFonts w:ascii="Times New Roman" w:eastAsia="Times New Roman" w:hAnsi="Times New Roman" w:cs="Times New Roman"/>
                <w:b/>
                <w:bCs/>
                <w:i/>
                <w:snapToGrid w:val="0"/>
                <w:sz w:val="24"/>
                <w:szCs w:val="24"/>
                <w:lang w:val="en-US"/>
              </w:rPr>
            </w:pPr>
          </w:p>
          <w:p w14:paraId="211A7CF4" w14:textId="77777777" w:rsidR="00FD0ED8" w:rsidRPr="0086273E" w:rsidRDefault="00FD0ED8" w:rsidP="00FD0ED8">
            <w:pPr>
              <w:spacing w:after="0" w:line="240" w:lineRule="auto"/>
              <w:rPr>
                <w:rFonts w:ascii="Times New Roman" w:eastAsia="Times New Roman" w:hAnsi="Times New Roman" w:cs="Times New Roman"/>
                <w:b/>
                <w:bCs/>
                <w:i/>
                <w:snapToGrid w:val="0"/>
                <w:sz w:val="24"/>
                <w:szCs w:val="24"/>
                <w:lang w:val="en-US"/>
              </w:rPr>
            </w:pPr>
            <w:r w:rsidRPr="0086273E">
              <w:rPr>
                <w:rFonts w:ascii="Times New Roman" w:eastAsia="Times New Roman" w:hAnsi="Times New Roman" w:cs="Times New Roman"/>
                <w:b/>
                <w:bCs/>
                <w:i/>
                <w:snapToGrid w:val="0"/>
                <w:sz w:val="24"/>
                <w:szCs w:val="24"/>
                <w:lang w:val="en-US"/>
              </w:rPr>
              <w:t>Therefore, the council should liaise with HMRC over this situation and ensure any PAYE/NIC liabilities due are paid.</w:t>
            </w:r>
          </w:p>
          <w:p w14:paraId="574B2567" w14:textId="77777777" w:rsidR="00FD0ED8" w:rsidRDefault="00FD0ED8" w:rsidP="00FD0ED8">
            <w:pPr>
              <w:pStyle w:val="TableText"/>
              <w:jc w:val="left"/>
              <w:rPr>
                <w:b/>
                <w:bCs/>
                <w:i/>
                <w:lang w:val="en-GB"/>
              </w:rPr>
            </w:pPr>
          </w:p>
        </w:tc>
        <w:tc>
          <w:tcPr>
            <w:tcW w:w="4399" w:type="dxa"/>
            <w:tcBorders>
              <w:top w:val="single" w:sz="6" w:space="0" w:color="auto"/>
              <w:left w:val="single" w:sz="6" w:space="0" w:color="auto"/>
              <w:bottom w:val="single" w:sz="6" w:space="0" w:color="auto"/>
              <w:right w:val="single" w:sz="6" w:space="0" w:color="auto"/>
            </w:tcBorders>
          </w:tcPr>
          <w:p w14:paraId="78E6B2FC" w14:textId="1E862106" w:rsidR="00FD0ED8" w:rsidRPr="0093463B" w:rsidRDefault="00011C43"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Currently being implemented – the council are consulting with H</w:t>
            </w:r>
            <w:r w:rsidR="005D6C22">
              <w:rPr>
                <w:rFonts w:ascii="Times New Roman" w:eastAsia="Times New Roman" w:hAnsi="Times New Roman" w:cs="Times New Roman"/>
                <w:b/>
                <w:snapToGrid w:val="0"/>
                <w:sz w:val="24"/>
                <w:szCs w:val="20"/>
                <w:lang w:val="en-US"/>
              </w:rPr>
              <w:t>M</w:t>
            </w:r>
            <w:r>
              <w:rPr>
                <w:rFonts w:ascii="Times New Roman" w:eastAsia="Times New Roman" w:hAnsi="Times New Roman" w:cs="Times New Roman"/>
                <w:b/>
                <w:snapToGrid w:val="0"/>
                <w:sz w:val="24"/>
                <w:szCs w:val="20"/>
                <w:lang w:val="en-US"/>
              </w:rPr>
              <w:t>RC regarding potential liabilities</w:t>
            </w:r>
          </w:p>
        </w:tc>
      </w:tr>
      <w:tr w:rsidR="00FD0ED8" w:rsidRPr="0093463B" w14:paraId="171A1F08" w14:textId="77777777" w:rsidTr="00D83B92">
        <w:tc>
          <w:tcPr>
            <w:tcW w:w="568" w:type="dxa"/>
            <w:tcBorders>
              <w:top w:val="single" w:sz="6" w:space="0" w:color="auto"/>
              <w:left w:val="single" w:sz="6" w:space="0" w:color="auto"/>
              <w:bottom w:val="single" w:sz="6" w:space="0" w:color="auto"/>
              <w:right w:val="single" w:sz="6" w:space="0" w:color="auto"/>
            </w:tcBorders>
          </w:tcPr>
          <w:p w14:paraId="3ABCABCB" w14:textId="60252509"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2</w:t>
            </w:r>
          </w:p>
        </w:tc>
        <w:tc>
          <w:tcPr>
            <w:tcW w:w="4396" w:type="dxa"/>
            <w:tcBorders>
              <w:top w:val="single" w:sz="4" w:space="0" w:color="auto"/>
              <w:left w:val="single" w:sz="6" w:space="0" w:color="auto"/>
              <w:bottom w:val="single" w:sz="6" w:space="0" w:color="auto"/>
              <w:right w:val="single" w:sz="4" w:space="0" w:color="auto"/>
            </w:tcBorders>
          </w:tcPr>
          <w:p w14:paraId="509F9C06" w14:textId="77777777" w:rsidR="00FD0ED8" w:rsidRDefault="00FD0ED8" w:rsidP="00FD0ED8">
            <w:pPr>
              <w:overflowPunct w:val="0"/>
              <w:autoSpaceDE w:val="0"/>
              <w:autoSpaceDN w:val="0"/>
              <w:adjustRightInd w:val="0"/>
              <w:spacing w:after="0" w:line="240" w:lineRule="auto"/>
              <w:textAlignment w:val="baseline"/>
              <w:rPr>
                <w:rFonts w:ascii="Times New Roman" w:hAnsi="Times New Roman" w:cs="Times New Roman"/>
                <w:color w:val="212121"/>
                <w:sz w:val="24"/>
                <w:szCs w:val="24"/>
              </w:rPr>
            </w:pPr>
            <w:r w:rsidRPr="001B49EC">
              <w:rPr>
                <w:rFonts w:ascii="Times New Roman" w:hAnsi="Times New Roman" w:cs="Times New Roman"/>
                <w:color w:val="212121"/>
                <w:sz w:val="24"/>
                <w:szCs w:val="24"/>
              </w:rPr>
              <w:t>The risk assessment was not updated, reviewed and approved by full council during the financial year.</w:t>
            </w:r>
          </w:p>
          <w:p w14:paraId="7FC21C3A" w14:textId="77777777" w:rsidR="00FD0ED8" w:rsidRDefault="00FD0ED8" w:rsidP="00FD0ED8">
            <w:pPr>
              <w:overflowPunct w:val="0"/>
              <w:autoSpaceDE w:val="0"/>
              <w:autoSpaceDN w:val="0"/>
              <w:adjustRightInd w:val="0"/>
              <w:spacing w:after="0" w:line="240" w:lineRule="auto"/>
              <w:textAlignment w:val="baseline"/>
              <w:rPr>
                <w:rFonts w:ascii="Times New Roman" w:hAnsi="Times New Roman" w:cs="Times New Roman"/>
                <w:color w:val="212121"/>
                <w:sz w:val="24"/>
                <w:szCs w:val="24"/>
              </w:rPr>
            </w:pPr>
          </w:p>
          <w:p w14:paraId="73176362" w14:textId="1631637B"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top w:val="single" w:sz="4" w:space="0" w:color="auto"/>
              <w:left w:val="single" w:sz="4" w:space="0" w:color="auto"/>
              <w:bottom w:val="single" w:sz="6" w:space="0" w:color="auto"/>
              <w:right w:val="single" w:sz="6" w:space="0" w:color="auto"/>
            </w:tcBorders>
          </w:tcPr>
          <w:p w14:paraId="2DAB88A9" w14:textId="77777777" w:rsidR="00FD0ED8" w:rsidRPr="00FA2D75" w:rsidRDefault="00FD0ED8" w:rsidP="00FD0ED8">
            <w:pPr>
              <w:spacing w:after="0" w:line="240" w:lineRule="auto"/>
              <w:rPr>
                <w:rFonts w:ascii="Times New Roman" w:hAnsi="Times New Roman" w:cs="Times New Roman"/>
                <w:i/>
                <w:sz w:val="24"/>
                <w:szCs w:val="24"/>
              </w:rPr>
            </w:pPr>
            <w:r w:rsidRPr="00FA2D75">
              <w:rPr>
                <w:rFonts w:ascii="Times New Roman" w:hAnsi="Times New Roman" w:cs="Times New Roman"/>
                <w:i/>
                <w:sz w:val="24"/>
                <w:szCs w:val="24"/>
              </w:rPr>
              <w:t>The risk assessment should be reviewed and approved by full council in each financial year.</w:t>
            </w:r>
          </w:p>
          <w:p w14:paraId="15934031" w14:textId="77777777" w:rsidR="00FD0ED8" w:rsidRDefault="00FD0ED8" w:rsidP="00FD0ED8">
            <w:pPr>
              <w:spacing w:after="0" w:line="240" w:lineRule="auto"/>
              <w:rPr>
                <w:i/>
              </w:rPr>
            </w:pPr>
          </w:p>
          <w:p w14:paraId="0FCE17CD" w14:textId="0C1FAE40"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 xml:space="preserve">NB. </w:t>
            </w:r>
            <w:r w:rsidRPr="003710F4">
              <w:rPr>
                <w:rFonts w:ascii="Times New Roman" w:eastAsia="Times New Roman" w:hAnsi="Times New Roman" w:cs="Times New Roman"/>
                <w:i/>
                <w:snapToGrid w:val="0"/>
                <w:sz w:val="24"/>
                <w:szCs w:val="24"/>
                <w:lang w:val="en-US"/>
              </w:rPr>
              <w:t>The draft annual governance statement completed for 2019/20 includes a YES for risk assessment</w:t>
            </w:r>
            <w:r>
              <w:rPr>
                <w:rFonts w:ascii="Times New Roman" w:eastAsia="Times New Roman" w:hAnsi="Times New Roman" w:cs="Times New Roman"/>
                <w:i/>
                <w:snapToGrid w:val="0"/>
                <w:sz w:val="24"/>
                <w:szCs w:val="24"/>
                <w:lang w:val="en-US"/>
              </w:rPr>
              <w:t xml:space="preserve"> but no risk assessment was approved by full council in the year.</w:t>
            </w:r>
          </w:p>
          <w:p w14:paraId="634CA23B" w14:textId="4B121575" w:rsidR="00FD0ED8" w:rsidRDefault="00FD0ED8" w:rsidP="00FD0ED8">
            <w:pPr>
              <w:spacing w:after="0" w:line="240" w:lineRule="auto"/>
              <w:rPr>
                <w:rFonts w:ascii="Times New Roman" w:eastAsia="Times New Roman" w:hAnsi="Times New Roman" w:cs="Times New Roman"/>
                <w:i/>
                <w:snapToGrid w:val="0"/>
                <w:sz w:val="24"/>
                <w:szCs w:val="24"/>
                <w:lang w:val="en-US"/>
              </w:rPr>
            </w:pPr>
          </w:p>
        </w:tc>
        <w:tc>
          <w:tcPr>
            <w:tcW w:w="4399" w:type="dxa"/>
            <w:tcBorders>
              <w:top w:val="single" w:sz="6" w:space="0" w:color="auto"/>
              <w:left w:val="single" w:sz="6" w:space="0" w:color="auto"/>
              <w:bottom w:val="single" w:sz="6" w:space="0" w:color="auto"/>
              <w:right w:val="single" w:sz="6" w:space="0" w:color="auto"/>
            </w:tcBorders>
          </w:tcPr>
          <w:p w14:paraId="0DF8A68D" w14:textId="4873D3F6" w:rsidR="00FD0ED8" w:rsidRPr="0093463B" w:rsidRDefault="00011C43"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Implemented</w:t>
            </w:r>
          </w:p>
        </w:tc>
      </w:tr>
      <w:tr w:rsidR="00FD0ED8" w:rsidRPr="0093463B" w14:paraId="2D5E1379" w14:textId="77777777" w:rsidTr="00D83B92">
        <w:tc>
          <w:tcPr>
            <w:tcW w:w="568" w:type="dxa"/>
            <w:tcBorders>
              <w:top w:val="single" w:sz="6" w:space="0" w:color="auto"/>
              <w:left w:val="single" w:sz="6" w:space="0" w:color="auto"/>
              <w:bottom w:val="single" w:sz="6" w:space="0" w:color="auto"/>
              <w:right w:val="single" w:sz="6" w:space="0" w:color="auto"/>
            </w:tcBorders>
          </w:tcPr>
          <w:p w14:paraId="581D598F" w14:textId="0D1DDB28"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3</w:t>
            </w:r>
          </w:p>
        </w:tc>
        <w:tc>
          <w:tcPr>
            <w:tcW w:w="4396" w:type="dxa"/>
            <w:tcBorders>
              <w:top w:val="single" w:sz="4" w:space="0" w:color="auto"/>
              <w:left w:val="single" w:sz="6" w:space="0" w:color="auto"/>
              <w:bottom w:val="single" w:sz="6" w:space="0" w:color="auto"/>
              <w:right w:val="single" w:sz="4" w:space="0" w:color="auto"/>
            </w:tcBorders>
          </w:tcPr>
          <w:p w14:paraId="6D47CC73" w14:textId="11EE7880"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3710F4">
              <w:rPr>
                <w:rFonts w:ascii="Times New Roman" w:eastAsia="Times New Roman" w:hAnsi="Times New Roman" w:cs="Times New Roman"/>
                <w:sz w:val="24"/>
                <w:szCs w:val="24"/>
                <w:lang w:val="en-US"/>
              </w:rPr>
              <w:t xml:space="preserve">The draft annual governance statement </w:t>
            </w:r>
            <w:r>
              <w:rPr>
                <w:rFonts w:ascii="Times New Roman" w:eastAsia="Times New Roman" w:hAnsi="Times New Roman" w:cs="Times New Roman"/>
                <w:sz w:val="24"/>
                <w:szCs w:val="24"/>
                <w:lang w:val="en-US"/>
              </w:rPr>
              <w:t xml:space="preserve">(AGS) </w:t>
            </w:r>
            <w:r w:rsidRPr="003710F4">
              <w:rPr>
                <w:rFonts w:ascii="Times New Roman" w:eastAsia="Times New Roman" w:hAnsi="Times New Roman" w:cs="Times New Roman"/>
                <w:sz w:val="24"/>
                <w:szCs w:val="24"/>
                <w:lang w:val="en-US"/>
              </w:rPr>
              <w:t xml:space="preserve">completed for 2019/20 includes a </w:t>
            </w:r>
            <w:r>
              <w:rPr>
                <w:rFonts w:ascii="Times New Roman" w:eastAsia="Times New Roman" w:hAnsi="Times New Roman" w:cs="Times New Roman"/>
                <w:sz w:val="24"/>
                <w:szCs w:val="24"/>
                <w:lang w:val="en-US"/>
              </w:rPr>
              <w:t>NO</w:t>
            </w:r>
            <w:r w:rsidRPr="003710F4">
              <w:rPr>
                <w:rFonts w:ascii="Times New Roman" w:eastAsia="Times New Roman" w:hAnsi="Times New Roman" w:cs="Times New Roman"/>
                <w:sz w:val="24"/>
                <w:szCs w:val="24"/>
                <w:lang w:val="en-US"/>
              </w:rPr>
              <w:t xml:space="preserve"> for </w:t>
            </w:r>
            <w:r>
              <w:rPr>
                <w:rFonts w:ascii="Times New Roman" w:eastAsia="Times New Roman" w:hAnsi="Times New Roman" w:cs="Times New Roman"/>
                <w:sz w:val="24"/>
                <w:szCs w:val="24"/>
                <w:lang w:val="en-US"/>
              </w:rPr>
              <w:t>Internal Audit in box 6 but the council does have a comprehensive independent internal audit carried out by ourselves annually. The reason provided for the NO response is that councillors were not carrying out checks for part of the financial year, however, this is not the same as an independent internal audit for a local council; the internal control checks carried out by councillors should be covered in Box One of the AGS.</w:t>
            </w:r>
          </w:p>
          <w:p w14:paraId="7901A5A0" w14:textId="7DD19B82"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top w:val="single" w:sz="4" w:space="0" w:color="auto"/>
              <w:left w:val="single" w:sz="4" w:space="0" w:color="auto"/>
              <w:bottom w:val="single" w:sz="6" w:space="0" w:color="auto"/>
              <w:right w:val="single" w:sz="6" w:space="0" w:color="auto"/>
            </w:tcBorders>
          </w:tcPr>
          <w:p w14:paraId="4F3BF3CB" w14:textId="594251E1"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The council need to revisit the response to section 6 on the AGS</w:t>
            </w:r>
          </w:p>
        </w:tc>
        <w:tc>
          <w:tcPr>
            <w:tcW w:w="4399" w:type="dxa"/>
            <w:tcBorders>
              <w:top w:val="single" w:sz="6" w:space="0" w:color="auto"/>
              <w:left w:val="single" w:sz="6" w:space="0" w:color="auto"/>
              <w:bottom w:val="single" w:sz="6" w:space="0" w:color="auto"/>
              <w:right w:val="single" w:sz="6" w:space="0" w:color="auto"/>
            </w:tcBorders>
          </w:tcPr>
          <w:p w14:paraId="4A049893" w14:textId="6B308F10" w:rsidR="00FD0ED8" w:rsidRPr="0093463B" w:rsidRDefault="00011C43"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Implemented</w:t>
            </w:r>
          </w:p>
        </w:tc>
      </w:tr>
      <w:tr w:rsidR="00FD0ED8" w:rsidRPr="0093463B" w14:paraId="31BEE114" w14:textId="77777777" w:rsidTr="00D83B92">
        <w:tc>
          <w:tcPr>
            <w:tcW w:w="568" w:type="dxa"/>
            <w:tcBorders>
              <w:top w:val="single" w:sz="6" w:space="0" w:color="auto"/>
              <w:left w:val="single" w:sz="6" w:space="0" w:color="auto"/>
              <w:bottom w:val="single" w:sz="6" w:space="0" w:color="auto"/>
              <w:right w:val="single" w:sz="6" w:space="0" w:color="auto"/>
            </w:tcBorders>
          </w:tcPr>
          <w:p w14:paraId="130F6561" w14:textId="74E20A32"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4</w:t>
            </w:r>
          </w:p>
        </w:tc>
        <w:tc>
          <w:tcPr>
            <w:tcW w:w="4396" w:type="dxa"/>
            <w:tcBorders>
              <w:top w:val="single" w:sz="4" w:space="0" w:color="auto"/>
              <w:left w:val="single" w:sz="6" w:space="0" w:color="auto"/>
              <w:bottom w:val="single" w:sz="6" w:space="0" w:color="auto"/>
              <w:right w:val="single" w:sz="4" w:space="0" w:color="auto"/>
            </w:tcBorders>
          </w:tcPr>
          <w:p w14:paraId="62E3B8B5"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RECURRING ISSUE</w:t>
            </w:r>
          </w:p>
          <w:p w14:paraId="73EEFE21"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1C41CF12" w14:textId="5531D616"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Prior to January 2020 there is no evidence in the minutes of the council receiving and reviewing regular detailed budgetary control information showing expenditure against budget including projected outturn for the year.</w:t>
            </w:r>
          </w:p>
          <w:p w14:paraId="23B193EC"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6E8488EB" w14:textId="3EF43253"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4"/>
                <w:lang w:val="en-US"/>
              </w:rPr>
              <w:t>The budget set for the 2019/20 fina</w:t>
            </w:r>
            <w:r w:rsidRPr="00AB46F7">
              <w:rPr>
                <w:rFonts w:ascii="Times New Roman" w:eastAsia="Times New Roman" w:hAnsi="Times New Roman" w:cs="Times New Roman"/>
                <w:sz w:val="24"/>
                <w:szCs w:val="24"/>
                <w:lang w:val="en-US"/>
              </w:rPr>
              <w:t>ncial year does not</w:t>
            </w:r>
            <w:r>
              <w:rPr>
                <w:rFonts w:ascii="Times New Roman" w:eastAsia="Times New Roman" w:hAnsi="Times New Roman" w:cs="Times New Roman"/>
                <w:sz w:val="24"/>
                <w:szCs w:val="20"/>
                <w:lang w:val="en-US"/>
              </w:rPr>
              <w:t xml:space="preserve"> </w:t>
            </w:r>
            <w:r w:rsidRPr="00AB46F7">
              <w:rPr>
                <w:rFonts w:ascii="Times New Roman" w:eastAsia="Times New Roman" w:hAnsi="Times New Roman" w:cs="Times New Roman"/>
                <w:sz w:val="24"/>
                <w:szCs w:val="20"/>
                <w:lang w:val="en-US"/>
              </w:rPr>
              <w:t xml:space="preserve">take into account </w:t>
            </w:r>
            <w:r>
              <w:rPr>
                <w:rFonts w:ascii="Times New Roman" w:eastAsia="Times New Roman" w:hAnsi="Times New Roman" w:cs="Times New Roman"/>
                <w:sz w:val="24"/>
                <w:szCs w:val="20"/>
                <w:lang w:val="en-US"/>
              </w:rPr>
              <w:t xml:space="preserve">of </w:t>
            </w:r>
            <w:r w:rsidRPr="005E51D1">
              <w:rPr>
                <w:rFonts w:ascii="Times New Roman" w:eastAsia="Times New Roman" w:hAnsi="Times New Roman" w:cs="Times New Roman"/>
                <w:i/>
                <w:iCs/>
                <w:sz w:val="24"/>
                <w:szCs w:val="20"/>
                <w:lang w:val="en-US"/>
              </w:rPr>
              <w:t>‘an amount that the council estimates will be appropriate to meet future estimated expenditure’</w:t>
            </w:r>
            <w:r w:rsidRPr="00AB46F7">
              <w:rPr>
                <w:rFonts w:ascii="Times New Roman" w:eastAsia="Times New Roman" w:hAnsi="Times New Roman" w:cs="Times New Roman"/>
                <w:sz w:val="24"/>
                <w:szCs w:val="20"/>
                <w:lang w:val="en-US"/>
              </w:rPr>
              <w:t xml:space="preserve"> (</w:t>
            </w:r>
            <w:proofErr w:type="spellStart"/>
            <w:r w:rsidRPr="00AB46F7">
              <w:rPr>
                <w:rFonts w:ascii="Times New Roman" w:eastAsia="Times New Roman" w:hAnsi="Times New Roman" w:cs="Times New Roman"/>
                <w:sz w:val="24"/>
                <w:szCs w:val="20"/>
                <w:lang w:val="en-US"/>
              </w:rPr>
              <w:t>ie</w:t>
            </w:r>
            <w:proofErr w:type="spellEnd"/>
            <w:r w:rsidRPr="00AB46F7">
              <w:rPr>
                <w:rFonts w:ascii="Times New Roman" w:eastAsia="Times New Roman" w:hAnsi="Times New Roman" w:cs="Times New Roman"/>
                <w:sz w:val="24"/>
                <w:szCs w:val="20"/>
                <w:lang w:val="en-US"/>
              </w:rPr>
              <w:t xml:space="preserve"> to hold in reserves)</w:t>
            </w:r>
            <w:r>
              <w:rPr>
                <w:rFonts w:ascii="Times New Roman" w:eastAsia="Times New Roman" w:hAnsi="Times New Roman" w:cs="Times New Roman"/>
                <w:sz w:val="24"/>
                <w:szCs w:val="20"/>
                <w:lang w:val="en-US"/>
              </w:rPr>
              <w:t xml:space="preserve">. This is a requirement of </w:t>
            </w:r>
            <w:r w:rsidRPr="00AB46F7">
              <w:rPr>
                <w:rFonts w:ascii="Times New Roman" w:eastAsia="Times New Roman" w:hAnsi="Times New Roman" w:cs="Times New Roman"/>
                <w:sz w:val="24"/>
                <w:szCs w:val="20"/>
                <w:lang w:val="en-US"/>
              </w:rPr>
              <w:t>the Local Government Finance Act 1992</w:t>
            </w:r>
            <w:r>
              <w:rPr>
                <w:rFonts w:ascii="Times New Roman" w:eastAsia="Times New Roman" w:hAnsi="Times New Roman" w:cs="Times New Roman"/>
                <w:sz w:val="24"/>
                <w:szCs w:val="20"/>
                <w:lang w:val="en-US"/>
              </w:rPr>
              <w:t xml:space="preserve">. </w:t>
            </w:r>
          </w:p>
          <w:p w14:paraId="50B0EB17" w14:textId="77777777" w:rsidR="00FD0ED8" w:rsidRDefault="00FD0ED8" w:rsidP="00FD0ED8">
            <w:pPr>
              <w:overflowPunct w:val="0"/>
              <w:autoSpaceDE w:val="0"/>
              <w:autoSpaceDN w:val="0"/>
              <w:adjustRightInd w:val="0"/>
              <w:spacing w:after="0" w:line="240" w:lineRule="auto"/>
              <w:textAlignment w:val="baseline"/>
              <w:rPr>
                <w:rFonts w:ascii="Times New Roman" w:hAnsi="Times New Roman" w:cs="Times New Roman"/>
                <w:b/>
                <w:bCs/>
                <w:color w:val="212121"/>
                <w:sz w:val="24"/>
                <w:szCs w:val="24"/>
              </w:rPr>
            </w:pPr>
          </w:p>
        </w:tc>
        <w:tc>
          <w:tcPr>
            <w:tcW w:w="4398" w:type="dxa"/>
            <w:tcBorders>
              <w:top w:val="single" w:sz="4" w:space="0" w:color="auto"/>
              <w:left w:val="single" w:sz="4" w:space="0" w:color="auto"/>
              <w:bottom w:val="single" w:sz="6" w:space="0" w:color="auto"/>
              <w:right w:val="single" w:sz="6" w:space="0" w:color="auto"/>
            </w:tcBorders>
          </w:tcPr>
          <w:p w14:paraId="1B19D3DD"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0CA6453B"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50635B26"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78AC81D0" w14:textId="61BAA546"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Minutes should clearly evidence the regular review of budgetary control information including the projected outturn for the financial year.</w:t>
            </w:r>
          </w:p>
          <w:p w14:paraId="0CFD11D6"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63A1E93A"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557D2F89" w14:textId="3AAF53FF"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br/>
              <w:t>The annual budget to support the precept should take account of brought forward and carried forward reserves.</w:t>
            </w:r>
          </w:p>
          <w:p w14:paraId="3E956FF7"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05F51E5E"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279AA224"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2E37BBAE" w14:textId="393B8021" w:rsidR="00FD0ED8" w:rsidRDefault="00FD0ED8" w:rsidP="00FD0ED8">
            <w:pPr>
              <w:pStyle w:val="TableText"/>
              <w:jc w:val="left"/>
              <w:rPr>
                <w:b/>
                <w:bCs/>
                <w:i/>
                <w:lang w:val="en-GB"/>
              </w:rPr>
            </w:pPr>
          </w:p>
        </w:tc>
        <w:tc>
          <w:tcPr>
            <w:tcW w:w="4399" w:type="dxa"/>
            <w:tcBorders>
              <w:top w:val="single" w:sz="6" w:space="0" w:color="auto"/>
              <w:left w:val="single" w:sz="6" w:space="0" w:color="auto"/>
              <w:bottom w:val="single" w:sz="6" w:space="0" w:color="auto"/>
              <w:right w:val="single" w:sz="6" w:space="0" w:color="auto"/>
            </w:tcBorders>
          </w:tcPr>
          <w:p w14:paraId="2B27D263" w14:textId="6BE64F0F" w:rsidR="00FD0ED8" w:rsidRPr="0093463B" w:rsidRDefault="00011C43"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See 2020/21 issues</w:t>
            </w:r>
          </w:p>
        </w:tc>
      </w:tr>
      <w:tr w:rsidR="00FD0ED8" w:rsidRPr="0093463B" w14:paraId="320CF20C" w14:textId="77777777" w:rsidTr="00BE02A3">
        <w:tc>
          <w:tcPr>
            <w:tcW w:w="568" w:type="dxa"/>
            <w:tcBorders>
              <w:top w:val="single" w:sz="6" w:space="0" w:color="auto"/>
              <w:left w:val="single" w:sz="6" w:space="0" w:color="auto"/>
              <w:bottom w:val="single" w:sz="6" w:space="0" w:color="auto"/>
              <w:right w:val="single" w:sz="6" w:space="0" w:color="auto"/>
            </w:tcBorders>
          </w:tcPr>
          <w:p w14:paraId="0609761F" w14:textId="1764BBC3"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5</w:t>
            </w:r>
          </w:p>
        </w:tc>
        <w:tc>
          <w:tcPr>
            <w:tcW w:w="4396" w:type="dxa"/>
            <w:tcBorders>
              <w:top w:val="single" w:sz="4" w:space="0" w:color="auto"/>
              <w:left w:val="single" w:sz="6" w:space="0" w:color="auto"/>
              <w:bottom w:val="single" w:sz="4" w:space="0" w:color="auto"/>
              <w:right w:val="single" w:sz="4" w:space="0" w:color="auto"/>
            </w:tcBorders>
          </w:tcPr>
          <w:p w14:paraId="3E7E92FD"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RECURRING ISSUE</w:t>
            </w:r>
          </w:p>
          <w:p w14:paraId="74474C7C"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7AE7B5D5" w14:textId="7698391B"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Expenditure testing identified the following for the period prior to November 2019:</w:t>
            </w:r>
          </w:p>
          <w:p w14:paraId="26379A00"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3E1BC1F3" w14:textId="48D3BAA4" w:rsidR="00FD0ED8" w:rsidRDefault="00FD0ED8" w:rsidP="00FD0ED8">
            <w:pPr>
              <w:pStyle w:val="ListParagraph"/>
              <w:numPr>
                <w:ilvl w:val="0"/>
                <w:numId w:val="4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minutes do not record the payments approved, either as a total that can be agreed to the payments schedule, or as individual payments. Therefore, there is no audit trail from the minutes to the payments that were actually approved.</w:t>
            </w:r>
          </w:p>
          <w:p w14:paraId="49EC59D9" w14:textId="77777777" w:rsidR="00FD0ED8" w:rsidRDefault="00FD0ED8" w:rsidP="00FD0ED8">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2FF68E4C" w14:textId="5C22975A" w:rsidR="00FD0ED8" w:rsidRDefault="00FD0ED8" w:rsidP="00FD0ED8">
            <w:pPr>
              <w:pStyle w:val="ListParagraph"/>
              <w:numPr>
                <w:ilvl w:val="0"/>
                <w:numId w:val="4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 supporting invoices/vouchers for some transactions</w:t>
            </w:r>
          </w:p>
          <w:p w14:paraId="20BDC943" w14:textId="77777777" w:rsidR="00FD0ED8" w:rsidRPr="003710F4" w:rsidRDefault="00FD0ED8" w:rsidP="00FD0ED8">
            <w:pPr>
              <w:pStyle w:val="ListParagraph"/>
              <w:rPr>
                <w:rFonts w:ascii="Times New Roman" w:eastAsia="Times New Roman" w:hAnsi="Times New Roman" w:cs="Times New Roman"/>
                <w:sz w:val="24"/>
                <w:szCs w:val="24"/>
                <w:lang w:val="en-US"/>
              </w:rPr>
            </w:pPr>
          </w:p>
          <w:p w14:paraId="3405358A" w14:textId="2731CD32" w:rsidR="00FD0ED8" w:rsidRPr="001B49EC" w:rsidRDefault="00FD0ED8" w:rsidP="00FD0ED8">
            <w:pPr>
              <w:pStyle w:val="ListParagraph"/>
              <w:numPr>
                <w:ilvl w:val="0"/>
                <w:numId w:val="4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Evidence of  invoices paid without authorisation by council</w:t>
            </w:r>
            <w:r>
              <w:rPr>
                <w:rFonts w:ascii="Times New Roman" w:eastAsia="Times New Roman" w:hAnsi="Times New Roman" w:cs="Times New Roman"/>
                <w:sz w:val="24"/>
                <w:szCs w:val="24"/>
                <w:lang w:val="en-US"/>
              </w:rPr>
              <w:br/>
            </w:r>
          </w:p>
        </w:tc>
        <w:tc>
          <w:tcPr>
            <w:tcW w:w="4398" w:type="dxa"/>
            <w:tcBorders>
              <w:top w:val="single" w:sz="4" w:space="0" w:color="auto"/>
              <w:left w:val="single" w:sz="4" w:space="0" w:color="auto"/>
              <w:bottom w:val="single" w:sz="4" w:space="0" w:color="auto"/>
              <w:right w:val="single" w:sz="6" w:space="0" w:color="auto"/>
            </w:tcBorders>
          </w:tcPr>
          <w:p w14:paraId="277A2D85"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15310F66"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16288BDB"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060D7A80"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68360D9F"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5C07903D"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2C8A1532" w14:textId="7CB58DA3"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Minutes should at least record the total of payments approved as per the payments schedule.</w:t>
            </w:r>
          </w:p>
          <w:p w14:paraId="415894CB" w14:textId="7E50F6A0"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7D20A61E"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3ABB841C"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000EB7C7"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39BE85DB"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78E2E8FF"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031251E3" w14:textId="5D21E88A"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Supporting invoices/vouchers should be retained for all expenditure</w:t>
            </w:r>
          </w:p>
          <w:p w14:paraId="79FD56B7" w14:textId="06F4AD9C"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73B4F3BD" w14:textId="035B11EA"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All expenditure should be authorised by council</w:t>
            </w:r>
          </w:p>
          <w:p w14:paraId="46E3C467" w14:textId="75373F80" w:rsidR="00FD0ED8" w:rsidRDefault="00FD0ED8" w:rsidP="00FD0ED8">
            <w:pPr>
              <w:pStyle w:val="TableText"/>
              <w:jc w:val="left"/>
              <w:rPr>
                <w:b/>
                <w:bCs/>
                <w:i/>
                <w:lang w:val="en-GB"/>
              </w:rPr>
            </w:pPr>
          </w:p>
        </w:tc>
        <w:tc>
          <w:tcPr>
            <w:tcW w:w="4399" w:type="dxa"/>
            <w:tcBorders>
              <w:top w:val="single" w:sz="6" w:space="0" w:color="auto"/>
              <w:left w:val="single" w:sz="6" w:space="0" w:color="auto"/>
              <w:bottom w:val="single" w:sz="6" w:space="0" w:color="auto"/>
              <w:right w:val="single" w:sz="6" w:space="0" w:color="auto"/>
            </w:tcBorders>
          </w:tcPr>
          <w:p w14:paraId="2AF27205" w14:textId="6DFCB0A0" w:rsidR="00FD0ED8" w:rsidRPr="0093463B" w:rsidRDefault="00011C43"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Implemented</w:t>
            </w:r>
          </w:p>
        </w:tc>
      </w:tr>
      <w:tr w:rsidR="00FD0ED8" w:rsidRPr="0093463B" w14:paraId="70684C85" w14:textId="77777777" w:rsidTr="00BE02A3">
        <w:tc>
          <w:tcPr>
            <w:tcW w:w="568" w:type="dxa"/>
            <w:tcBorders>
              <w:top w:val="single" w:sz="6" w:space="0" w:color="auto"/>
              <w:left w:val="single" w:sz="6" w:space="0" w:color="auto"/>
              <w:bottom w:val="single" w:sz="6" w:space="0" w:color="auto"/>
              <w:right w:val="single" w:sz="4" w:space="0" w:color="auto"/>
            </w:tcBorders>
          </w:tcPr>
          <w:p w14:paraId="35AE9418" w14:textId="1303E7CC"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6</w:t>
            </w:r>
          </w:p>
        </w:tc>
        <w:tc>
          <w:tcPr>
            <w:tcW w:w="4396" w:type="dxa"/>
            <w:tcBorders>
              <w:top w:val="single" w:sz="4" w:space="0" w:color="auto"/>
              <w:left w:val="single" w:sz="4" w:space="0" w:color="auto"/>
              <w:bottom w:val="single" w:sz="4" w:space="0" w:color="auto"/>
              <w:right w:val="single" w:sz="4" w:space="0" w:color="auto"/>
            </w:tcBorders>
            <w:shd w:val="clear" w:color="auto" w:fill="auto"/>
          </w:tcPr>
          <w:p w14:paraId="599779E5" w14:textId="4BA495A1" w:rsidR="00FD0ED8" w:rsidRDefault="00FD0ED8" w:rsidP="00FD0ED8">
            <w:pPr>
              <w:pStyle w:val="TableText"/>
              <w:tabs>
                <w:tab w:val="left" w:pos="1084"/>
              </w:tabs>
              <w:jc w:val="left"/>
            </w:pPr>
            <w:r w:rsidRPr="00BD7FF5">
              <w:t xml:space="preserve">There is a new internal control objective (Objective L) in the </w:t>
            </w:r>
            <w:r>
              <w:t>AGAR</w:t>
            </w:r>
            <w:r w:rsidRPr="00BD7FF5">
              <w:t xml:space="preserve"> internal audit certificate that requires internal audit to conclude on whether the Public Rights Notice during the previous Summer </w:t>
            </w:r>
            <w:r>
              <w:t xml:space="preserve">(2018/19 financial year) </w:t>
            </w:r>
            <w:r w:rsidRPr="00BD7FF5">
              <w:t>was compliant with the Regulations.</w:t>
            </w:r>
            <w:r>
              <w:t xml:space="preserve"> Due to the absence of any evidence with regard to the display of the notice, we have concluded the council did not comply with the requirements for the Public Rights Notice for 2018/19.</w:t>
            </w:r>
          </w:p>
          <w:p w14:paraId="05743F7A" w14:textId="7C5A6AEE" w:rsidR="00FD0ED8" w:rsidRPr="001B49EC" w:rsidRDefault="00FD0ED8" w:rsidP="00FD0ED8">
            <w:pPr>
              <w:rPr>
                <w:rFonts w:ascii="Times New Roman" w:hAnsi="Times New Roman" w:cs="Times New Roman"/>
                <w:color w:val="212121"/>
                <w:sz w:val="24"/>
                <w:szCs w:val="24"/>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14:paraId="57B3EE3B" w14:textId="232C2640" w:rsidR="00FD0ED8" w:rsidRPr="001B49EC" w:rsidRDefault="00FD0ED8" w:rsidP="00FD0ED8">
            <w:pPr>
              <w:pStyle w:val="TableText"/>
              <w:jc w:val="left"/>
              <w:rPr>
                <w:i/>
                <w:lang w:val="en-GB"/>
              </w:rPr>
            </w:pPr>
            <w:r w:rsidRPr="00BB3042">
              <w:rPr>
                <w:i/>
                <w:iCs/>
                <w:szCs w:val="24"/>
              </w:rPr>
              <w:t>The council should ensure compliance with the legal requirements for the Annual Notice of Public Rights.</w:t>
            </w:r>
          </w:p>
        </w:tc>
        <w:tc>
          <w:tcPr>
            <w:tcW w:w="4399" w:type="dxa"/>
            <w:tcBorders>
              <w:top w:val="single" w:sz="6" w:space="0" w:color="auto"/>
              <w:left w:val="single" w:sz="4" w:space="0" w:color="auto"/>
              <w:bottom w:val="single" w:sz="6" w:space="0" w:color="auto"/>
              <w:right w:val="single" w:sz="6" w:space="0" w:color="auto"/>
            </w:tcBorders>
          </w:tcPr>
          <w:p w14:paraId="2CC72F24" w14:textId="1F339D05" w:rsidR="00FD0ED8" w:rsidRPr="0093463B" w:rsidRDefault="00011C43"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See 2020/21 issues</w:t>
            </w:r>
          </w:p>
        </w:tc>
      </w:tr>
      <w:tr w:rsidR="00FD0ED8" w:rsidRPr="0093463B" w14:paraId="3634A5D3" w14:textId="77777777" w:rsidTr="00BE02A3">
        <w:tc>
          <w:tcPr>
            <w:tcW w:w="568" w:type="dxa"/>
            <w:tcBorders>
              <w:top w:val="single" w:sz="6" w:space="0" w:color="auto"/>
              <w:left w:val="single" w:sz="6" w:space="0" w:color="auto"/>
              <w:bottom w:val="single" w:sz="6" w:space="0" w:color="auto"/>
              <w:right w:val="single" w:sz="6" w:space="0" w:color="auto"/>
            </w:tcBorders>
          </w:tcPr>
          <w:p w14:paraId="55ADC75B" w14:textId="17E04AAA"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7</w:t>
            </w:r>
          </w:p>
        </w:tc>
        <w:tc>
          <w:tcPr>
            <w:tcW w:w="4396" w:type="dxa"/>
            <w:tcBorders>
              <w:top w:val="single" w:sz="4" w:space="0" w:color="auto"/>
              <w:left w:val="single" w:sz="6" w:space="0" w:color="auto"/>
              <w:bottom w:val="single" w:sz="6" w:space="0" w:color="auto"/>
              <w:right w:val="single" w:sz="4" w:space="0" w:color="auto"/>
            </w:tcBorders>
          </w:tcPr>
          <w:p w14:paraId="06C5CECB" w14:textId="2EB8E122" w:rsidR="00FD0ED8" w:rsidRPr="00856070" w:rsidRDefault="00FD0ED8" w:rsidP="00FD0ED8">
            <w:pPr>
              <w:rPr>
                <w:rFonts w:ascii="Times New Roman" w:hAnsi="Times New Roman" w:cs="Times New Roman"/>
                <w:color w:val="212121"/>
                <w:sz w:val="24"/>
                <w:szCs w:val="24"/>
              </w:rPr>
            </w:pPr>
            <w:r w:rsidRPr="00856070">
              <w:rPr>
                <w:rFonts w:ascii="Times New Roman" w:hAnsi="Times New Roman" w:cs="Times New Roman"/>
                <w:color w:val="212121"/>
                <w:sz w:val="24"/>
                <w:szCs w:val="24"/>
              </w:rPr>
              <w:t>There is no lease register in place and there is evidence in the information provided by the RFO that rents from leases had not been collected.</w:t>
            </w:r>
          </w:p>
        </w:tc>
        <w:tc>
          <w:tcPr>
            <w:tcW w:w="4398" w:type="dxa"/>
            <w:tcBorders>
              <w:top w:val="single" w:sz="4" w:space="0" w:color="auto"/>
              <w:left w:val="single" w:sz="4" w:space="0" w:color="auto"/>
              <w:bottom w:val="single" w:sz="6" w:space="0" w:color="auto"/>
              <w:right w:val="single" w:sz="6" w:space="0" w:color="auto"/>
            </w:tcBorders>
          </w:tcPr>
          <w:p w14:paraId="0DE23722" w14:textId="77777777" w:rsidR="00FD0ED8" w:rsidRDefault="00FD0ED8" w:rsidP="00FD0ED8">
            <w:pPr>
              <w:pStyle w:val="TableText"/>
              <w:jc w:val="left"/>
              <w:rPr>
                <w:i/>
                <w:lang w:val="en-GB"/>
              </w:rPr>
            </w:pPr>
            <w:r w:rsidRPr="00856070">
              <w:rPr>
                <w:i/>
                <w:lang w:val="en-GB"/>
              </w:rPr>
              <w:t>A lease register needs to be established to ensure rents from leases are invoice</w:t>
            </w:r>
            <w:r>
              <w:rPr>
                <w:i/>
                <w:lang w:val="en-GB"/>
              </w:rPr>
              <w:t>d</w:t>
            </w:r>
            <w:r w:rsidRPr="00856070">
              <w:rPr>
                <w:i/>
                <w:lang w:val="en-GB"/>
              </w:rPr>
              <w:t xml:space="preserve"> and collected </w:t>
            </w:r>
            <w:r>
              <w:rPr>
                <w:i/>
                <w:lang w:val="en-GB"/>
              </w:rPr>
              <w:t xml:space="preserve">on a timely basis </w:t>
            </w:r>
            <w:r w:rsidRPr="00856070">
              <w:rPr>
                <w:i/>
                <w:lang w:val="en-GB"/>
              </w:rPr>
              <w:t>and rent reviews are carried out at the expiry of leases</w:t>
            </w:r>
            <w:r>
              <w:rPr>
                <w:i/>
                <w:lang w:val="en-GB"/>
              </w:rPr>
              <w:t>.</w:t>
            </w:r>
          </w:p>
          <w:p w14:paraId="6D9B0853" w14:textId="1AD23905" w:rsidR="00FD0ED8" w:rsidRPr="00856070" w:rsidRDefault="00FD0ED8" w:rsidP="00FD0ED8">
            <w:pPr>
              <w:pStyle w:val="TableText"/>
              <w:jc w:val="left"/>
              <w:rPr>
                <w:i/>
                <w:lang w:val="en-GB"/>
              </w:rPr>
            </w:pPr>
          </w:p>
        </w:tc>
        <w:tc>
          <w:tcPr>
            <w:tcW w:w="4399" w:type="dxa"/>
            <w:tcBorders>
              <w:top w:val="single" w:sz="6" w:space="0" w:color="auto"/>
              <w:left w:val="single" w:sz="6" w:space="0" w:color="auto"/>
              <w:bottom w:val="single" w:sz="6" w:space="0" w:color="auto"/>
              <w:right w:val="single" w:sz="6" w:space="0" w:color="auto"/>
            </w:tcBorders>
          </w:tcPr>
          <w:p w14:paraId="6F9B5C66" w14:textId="4570EA34" w:rsidR="00FD0ED8" w:rsidRPr="0093463B" w:rsidRDefault="00011C43"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Implemented – the council has followed up all amounts owed by lessees</w:t>
            </w:r>
          </w:p>
        </w:tc>
      </w:tr>
      <w:tr w:rsidR="00FD0ED8" w:rsidRPr="0093463B" w14:paraId="40EAB1B5" w14:textId="77777777" w:rsidTr="006500B9">
        <w:tc>
          <w:tcPr>
            <w:tcW w:w="568" w:type="dxa"/>
            <w:tcBorders>
              <w:top w:val="single" w:sz="6" w:space="0" w:color="auto"/>
              <w:left w:val="single" w:sz="6" w:space="0" w:color="auto"/>
              <w:bottom w:val="single" w:sz="6" w:space="0" w:color="auto"/>
              <w:right w:val="single" w:sz="6" w:space="0" w:color="auto"/>
            </w:tcBorders>
          </w:tcPr>
          <w:p w14:paraId="09F706BF" w14:textId="01CFF547"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8</w:t>
            </w:r>
          </w:p>
        </w:tc>
        <w:tc>
          <w:tcPr>
            <w:tcW w:w="4396" w:type="dxa"/>
            <w:tcBorders>
              <w:top w:val="single" w:sz="6" w:space="0" w:color="auto"/>
              <w:left w:val="single" w:sz="6" w:space="0" w:color="auto"/>
              <w:bottom w:val="single" w:sz="6" w:space="0" w:color="auto"/>
              <w:right w:val="single" w:sz="6" w:space="0" w:color="auto"/>
            </w:tcBorders>
          </w:tcPr>
          <w:p w14:paraId="6BB65CED" w14:textId="62143ED7" w:rsidR="00FD0ED8" w:rsidRDefault="00FD0ED8" w:rsidP="00FD0ED8">
            <w:pPr>
              <w:pStyle w:val="TableText"/>
              <w:jc w:val="left"/>
              <w:rPr>
                <w:bCs/>
                <w:szCs w:val="24"/>
              </w:rPr>
            </w:pPr>
            <w:r>
              <w:rPr>
                <w:bCs/>
                <w:szCs w:val="24"/>
              </w:rPr>
              <w:t xml:space="preserve">The updated model Financial Regulations refer in section 11.) to a Purchase Order (PO) system (which would also clearly evidence the authority to spend). However, there was no evidence a PO system is currently in place. </w:t>
            </w:r>
          </w:p>
          <w:p w14:paraId="64CA9637" w14:textId="77777777" w:rsidR="00FD0ED8" w:rsidRDefault="00FD0ED8" w:rsidP="00FD0ED8">
            <w:pPr>
              <w:pStyle w:val="TableText"/>
              <w:jc w:val="left"/>
              <w:rPr>
                <w:b/>
                <w:bCs/>
                <w:color w:val="212121"/>
                <w:szCs w:val="24"/>
              </w:rPr>
            </w:pPr>
          </w:p>
        </w:tc>
        <w:tc>
          <w:tcPr>
            <w:tcW w:w="4398" w:type="dxa"/>
            <w:tcBorders>
              <w:top w:val="single" w:sz="6" w:space="0" w:color="auto"/>
              <w:left w:val="single" w:sz="6" w:space="0" w:color="auto"/>
              <w:bottom w:val="single" w:sz="6" w:space="0" w:color="auto"/>
              <w:right w:val="single" w:sz="6" w:space="0" w:color="auto"/>
            </w:tcBorders>
          </w:tcPr>
          <w:p w14:paraId="4AF1AB19" w14:textId="0598B67B" w:rsidR="00FD0ED8" w:rsidRDefault="00FD0ED8" w:rsidP="00FD0ED8">
            <w:pPr>
              <w:pStyle w:val="TableText"/>
              <w:jc w:val="left"/>
              <w:rPr>
                <w:b/>
                <w:bCs/>
                <w:i/>
                <w:lang w:val="en-GB"/>
              </w:rPr>
            </w:pPr>
            <w:r>
              <w:rPr>
                <w:bCs/>
                <w:i/>
                <w:iCs/>
                <w:szCs w:val="24"/>
              </w:rPr>
              <w:t>If the Purchase Order section of the FRs is an accepted  requirement by council, then t</w:t>
            </w:r>
            <w:r w:rsidRPr="00811AC2">
              <w:rPr>
                <w:bCs/>
                <w:i/>
                <w:iCs/>
                <w:szCs w:val="24"/>
              </w:rPr>
              <w:t>he council should establish a sequential Purchase Order system</w:t>
            </w:r>
            <w:r>
              <w:rPr>
                <w:bCs/>
                <w:i/>
                <w:iCs/>
                <w:szCs w:val="24"/>
              </w:rPr>
              <w:t>, which would be signed according to the Authority to Spend requirements of the FRs</w:t>
            </w:r>
          </w:p>
        </w:tc>
        <w:tc>
          <w:tcPr>
            <w:tcW w:w="4399" w:type="dxa"/>
            <w:tcBorders>
              <w:top w:val="single" w:sz="6" w:space="0" w:color="auto"/>
              <w:left w:val="single" w:sz="6" w:space="0" w:color="auto"/>
              <w:bottom w:val="single" w:sz="6" w:space="0" w:color="auto"/>
              <w:right w:val="single" w:sz="6" w:space="0" w:color="auto"/>
            </w:tcBorders>
          </w:tcPr>
          <w:p w14:paraId="343DC63C" w14:textId="29F1A614" w:rsidR="00FD0ED8" w:rsidRPr="0093463B" w:rsidRDefault="00011C43"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Implemented</w:t>
            </w:r>
          </w:p>
        </w:tc>
      </w:tr>
      <w:tr w:rsidR="00FD0ED8" w:rsidRPr="0093463B" w14:paraId="7A773BBF" w14:textId="77777777" w:rsidTr="007B7929">
        <w:tc>
          <w:tcPr>
            <w:tcW w:w="13761" w:type="dxa"/>
            <w:gridSpan w:val="4"/>
            <w:tcBorders>
              <w:top w:val="single" w:sz="6" w:space="0" w:color="auto"/>
              <w:left w:val="single" w:sz="6" w:space="0" w:color="auto"/>
              <w:bottom w:val="single" w:sz="6" w:space="0" w:color="auto"/>
              <w:right w:val="single" w:sz="6" w:space="0" w:color="auto"/>
            </w:tcBorders>
          </w:tcPr>
          <w:p w14:paraId="382816E7" w14:textId="77777777" w:rsidR="00FD0ED8" w:rsidRDefault="00FD0ED8" w:rsidP="00FD0ED8">
            <w:pPr>
              <w:spacing w:after="0" w:line="240" w:lineRule="auto"/>
              <w:rPr>
                <w:rFonts w:ascii="Times New Roman" w:eastAsia="Times New Roman" w:hAnsi="Times New Roman" w:cs="Times New Roman"/>
                <w:b/>
                <w:snapToGrid w:val="0"/>
                <w:sz w:val="24"/>
                <w:szCs w:val="20"/>
                <w:lang w:val="en-US"/>
              </w:rPr>
            </w:pPr>
          </w:p>
          <w:p w14:paraId="1CA5C510" w14:textId="77777777" w:rsidR="00FD0ED8"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2018/19 internal audit</w:t>
            </w:r>
          </w:p>
          <w:p w14:paraId="3D68D9C5" w14:textId="1B3007BE"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p>
        </w:tc>
      </w:tr>
      <w:tr w:rsidR="00FD0ED8" w:rsidRPr="0093463B" w14:paraId="38D2A36D" w14:textId="77777777" w:rsidTr="00D83B92">
        <w:tc>
          <w:tcPr>
            <w:tcW w:w="568" w:type="dxa"/>
            <w:tcBorders>
              <w:top w:val="single" w:sz="6" w:space="0" w:color="auto"/>
              <w:left w:val="single" w:sz="6" w:space="0" w:color="auto"/>
              <w:bottom w:val="single" w:sz="6" w:space="0" w:color="auto"/>
              <w:right w:val="single" w:sz="6" w:space="0" w:color="auto"/>
            </w:tcBorders>
          </w:tcPr>
          <w:p w14:paraId="39436137" w14:textId="7402FCEE"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1</w:t>
            </w:r>
          </w:p>
        </w:tc>
        <w:tc>
          <w:tcPr>
            <w:tcW w:w="4396" w:type="dxa"/>
            <w:tcBorders>
              <w:top w:val="single" w:sz="4" w:space="0" w:color="auto"/>
              <w:left w:val="single" w:sz="6" w:space="0" w:color="auto"/>
              <w:bottom w:val="single" w:sz="6" w:space="0" w:color="auto"/>
              <w:right w:val="single" w:sz="4" w:space="0" w:color="auto"/>
            </w:tcBorders>
          </w:tcPr>
          <w:p w14:paraId="38E27B4A" w14:textId="708482A6" w:rsidR="00FD0ED8" w:rsidRDefault="00FD0ED8" w:rsidP="00FD0ED8">
            <w:pPr>
              <w:rPr>
                <w:rFonts w:ascii="Times New Roman" w:hAnsi="Times New Roman" w:cs="Times New Roman"/>
                <w:b/>
                <w:bCs/>
                <w:color w:val="212121"/>
                <w:sz w:val="24"/>
                <w:szCs w:val="24"/>
              </w:rPr>
            </w:pPr>
            <w:r>
              <w:rPr>
                <w:rFonts w:ascii="Times New Roman" w:hAnsi="Times New Roman" w:cs="Times New Roman"/>
                <w:b/>
                <w:bCs/>
                <w:color w:val="212121"/>
                <w:sz w:val="24"/>
                <w:szCs w:val="24"/>
              </w:rPr>
              <w:t>Financial Regulations (FRs)</w:t>
            </w:r>
          </w:p>
          <w:p w14:paraId="2A3EB199" w14:textId="4F1205A0" w:rsidR="00FD0ED8" w:rsidRPr="0074677C" w:rsidRDefault="00FD0ED8" w:rsidP="00FD0ED8">
            <w:pPr>
              <w:rPr>
                <w:rFonts w:ascii="Times New Roman" w:hAnsi="Times New Roman" w:cs="Times New Roman"/>
                <w:b/>
                <w:bCs/>
                <w:color w:val="212121"/>
                <w:sz w:val="24"/>
                <w:szCs w:val="24"/>
              </w:rPr>
            </w:pPr>
            <w:r w:rsidRPr="0086273E">
              <w:rPr>
                <w:rFonts w:ascii="Times New Roman" w:hAnsi="Times New Roman" w:cs="Times New Roman"/>
                <w:b/>
                <w:bCs/>
                <w:color w:val="212121"/>
                <w:sz w:val="24"/>
                <w:szCs w:val="24"/>
              </w:rPr>
              <w:t xml:space="preserve">We were informed that </w:t>
            </w:r>
            <w:r w:rsidRPr="0074677C">
              <w:rPr>
                <w:rFonts w:ascii="Times New Roman" w:hAnsi="Times New Roman" w:cs="Times New Roman"/>
                <w:b/>
                <w:bCs/>
                <w:color w:val="212121"/>
                <w:sz w:val="24"/>
                <w:szCs w:val="24"/>
              </w:rPr>
              <w:t>previous members and employees still have login access to the main bank account. Therefore, any two ex ‘signatories’ could potentially withdraw up to £50,000 per day from the main bank account.</w:t>
            </w:r>
            <w:r w:rsidRPr="0074677C">
              <w:rPr>
                <w:rFonts w:ascii="Times New Roman" w:hAnsi="Times New Roman" w:cs="Times New Roman"/>
                <w:b/>
                <w:bCs/>
                <w:color w:val="212121"/>
                <w:sz w:val="24"/>
                <w:szCs w:val="24"/>
              </w:rPr>
              <w:br/>
              <w:t> </w:t>
            </w:r>
          </w:p>
          <w:p w14:paraId="68F53D11" w14:textId="0EDB0B7C" w:rsidR="00FD0ED8" w:rsidRPr="0074677C" w:rsidRDefault="00FD0ED8" w:rsidP="00FD0ED8">
            <w:pPr>
              <w:rPr>
                <w:rFonts w:ascii="Times New Roman" w:eastAsia="Times New Roman" w:hAnsi="Times New Roman" w:cs="Times New Roman"/>
                <w:b/>
                <w:bCs/>
                <w:sz w:val="24"/>
                <w:szCs w:val="24"/>
                <w:lang w:eastAsia="en-GB"/>
              </w:rPr>
            </w:pPr>
            <w:r w:rsidRPr="0074677C">
              <w:rPr>
                <w:rFonts w:ascii="Times New Roman" w:hAnsi="Times New Roman" w:cs="Times New Roman"/>
                <w:b/>
                <w:bCs/>
                <w:color w:val="212121"/>
                <w:sz w:val="24"/>
                <w:szCs w:val="24"/>
              </w:rPr>
              <w:t xml:space="preserve">Section 4  of the FRs is not clear what the Authority to Spend is for items of expenditure between £500 and £1000. </w:t>
            </w:r>
            <w:r>
              <w:rPr>
                <w:rFonts w:ascii="Times New Roman" w:hAnsi="Times New Roman" w:cs="Times New Roman"/>
                <w:b/>
                <w:bCs/>
                <w:color w:val="212121"/>
                <w:sz w:val="24"/>
                <w:szCs w:val="24"/>
              </w:rPr>
              <w:t>We were informed that k</w:t>
            </w:r>
            <w:r w:rsidRPr="0074677C">
              <w:rPr>
                <w:rFonts w:ascii="Times New Roman" w:hAnsi="Times New Roman" w:cs="Times New Roman"/>
                <w:b/>
                <w:bCs/>
                <w:color w:val="212121"/>
                <w:sz w:val="24"/>
                <w:szCs w:val="24"/>
              </w:rPr>
              <w:t xml:space="preserve">nowledge of the Authority to Spend section of the adopted  NALC FRs needs to be improved. </w:t>
            </w:r>
          </w:p>
        </w:tc>
        <w:tc>
          <w:tcPr>
            <w:tcW w:w="4398" w:type="dxa"/>
            <w:tcBorders>
              <w:top w:val="single" w:sz="4" w:space="0" w:color="auto"/>
              <w:left w:val="single" w:sz="4" w:space="0" w:color="auto"/>
              <w:bottom w:val="single" w:sz="6" w:space="0" w:color="auto"/>
              <w:right w:val="single" w:sz="6" w:space="0" w:color="auto"/>
            </w:tcBorders>
          </w:tcPr>
          <w:p w14:paraId="2EC53B36" w14:textId="77777777" w:rsidR="00FD0ED8" w:rsidRDefault="00FD0ED8" w:rsidP="00FD0ED8">
            <w:pPr>
              <w:pStyle w:val="TableText"/>
              <w:jc w:val="left"/>
              <w:rPr>
                <w:b/>
                <w:bCs/>
                <w:i/>
                <w:lang w:val="en-GB"/>
              </w:rPr>
            </w:pPr>
          </w:p>
          <w:p w14:paraId="64B41F29" w14:textId="77777777" w:rsidR="00FD0ED8" w:rsidRDefault="00FD0ED8" w:rsidP="00FD0ED8">
            <w:pPr>
              <w:pStyle w:val="TableText"/>
              <w:jc w:val="left"/>
              <w:rPr>
                <w:b/>
                <w:bCs/>
                <w:i/>
                <w:lang w:val="en-GB"/>
              </w:rPr>
            </w:pPr>
          </w:p>
          <w:p w14:paraId="7428EBE4" w14:textId="77777777" w:rsidR="00FD0ED8" w:rsidRDefault="00FD0ED8" w:rsidP="00FD0ED8">
            <w:pPr>
              <w:pStyle w:val="TableText"/>
              <w:jc w:val="left"/>
              <w:rPr>
                <w:b/>
                <w:bCs/>
                <w:i/>
                <w:lang w:val="en-GB"/>
              </w:rPr>
            </w:pPr>
          </w:p>
          <w:p w14:paraId="0CA3ADBB" w14:textId="51B96AC4" w:rsidR="00FD0ED8" w:rsidRDefault="00FD0ED8" w:rsidP="00FD0ED8">
            <w:pPr>
              <w:pStyle w:val="TableText"/>
              <w:jc w:val="left"/>
              <w:rPr>
                <w:b/>
                <w:bCs/>
                <w:i/>
                <w:lang w:val="en-GB"/>
              </w:rPr>
            </w:pPr>
            <w:r w:rsidRPr="0086273E">
              <w:rPr>
                <w:b/>
                <w:bCs/>
                <w:i/>
                <w:lang w:val="en-GB"/>
              </w:rPr>
              <w:t>The council should only ever permit current councillors/employees to have access to the bank account, in accordance with the Financial Regulations. The required changes to banking access need to be made urgently.</w:t>
            </w:r>
          </w:p>
          <w:p w14:paraId="5141D305" w14:textId="65493D48" w:rsidR="00FD0ED8" w:rsidRDefault="00FD0ED8" w:rsidP="00FD0ED8">
            <w:pPr>
              <w:pStyle w:val="TableText"/>
              <w:jc w:val="left"/>
              <w:rPr>
                <w:b/>
                <w:bCs/>
                <w:i/>
                <w:lang w:val="en-GB"/>
              </w:rPr>
            </w:pPr>
          </w:p>
          <w:p w14:paraId="45C0E486" w14:textId="140BBBB4" w:rsidR="00FD0ED8" w:rsidRDefault="00FD0ED8" w:rsidP="00FD0ED8">
            <w:pPr>
              <w:pStyle w:val="TableText"/>
              <w:jc w:val="left"/>
              <w:rPr>
                <w:b/>
                <w:bCs/>
                <w:i/>
                <w:lang w:val="en-GB"/>
              </w:rPr>
            </w:pPr>
          </w:p>
          <w:p w14:paraId="212CA5C2" w14:textId="3E2C01D6" w:rsidR="00FD0ED8" w:rsidRPr="0086273E" w:rsidRDefault="00FD0ED8" w:rsidP="00FD0ED8">
            <w:pPr>
              <w:pStyle w:val="TableText"/>
              <w:jc w:val="left"/>
              <w:rPr>
                <w:b/>
                <w:bCs/>
                <w:i/>
                <w:lang w:val="en-GB"/>
              </w:rPr>
            </w:pPr>
            <w:r>
              <w:rPr>
                <w:b/>
                <w:bCs/>
                <w:i/>
                <w:lang w:val="en-GB"/>
              </w:rPr>
              <w:t xml:space="preserve">The council should ensure all expenditure levels are covered by the Authority to Spend in Section 4 of the FRs and that there is clear understanding of this section at the council. </w:t>
            </w:r>
          </w:p>
          <w:p w14:paraId="7E4CA07E" w14:textId="77777777" w:rsidR="00FD0ED8" w:rsidRPr="0086273E" w:rsidRDefault="00FD0ED8" w:rsidP="00FD0ED8">
            <w:pPr>
              <w:pStyle w:val="TableText"/>
              <w:jc w:val="left"/>
              <w:rPr>
                <w:b/>
                <w:bCs/>
                <w:i/>
                <w:lang w:val="en-GB"/>
              </w:rPr>
            </w:pPr>
          </w:p>
          <w:p w14:paraId="233496F6" w14:textId="77777777" w:rsidR="00FD0ED8" w:rsidRPr="0086273E" w:rsidRDefault="00FD0ED8" w:rsidP="00FD0ED8">
            <w:pPr>
              <w:spacing w:after="0" w:line="240" w:lineRule="auto"/>
              <w:rPr>
                <w:rFonts w:ascii="Times New Roman" w:eastAsia="Times New Roman" w:hAnsi="Times New Roman" w:cs="Times New Roman"/>
                <w:b/>
                <w:bCs/>
                <w:i/>
                <w:snapToGrid w:val="0"/>
                <w:sz w:val="24"/>
                <w:szCs w:val="24"/>
                <w:lang w:val="en-US"/>
              </w:rPr>
            </w:pPr>
          </w:p>
        </w:tc>
        <w:tc>
          <w:tcPr>
            <w:tcW w:w="4399" w:type="dxa"/>
            <w:tcBorders>
              <w:top w:val="single" w:sz="6" w:space="0" w:color="auto"/>
              <w:left w:val="single" w:sz="6" w:space="0" w:color="auto"/>
              <w:bottom w:val="single" w:sz="6" w:space="0" w:color="auto"/>
              <w:right w:val="single" w:sz="6" w:space="0" w:color="auto"/>
            </w:tcBorders>
          </w:tcPr>
          <w:p w14:paraId="476EAFDD" w14:textId="77777777" w:rsidR="00FD0ED8" w:rsidRDefault="00FD0ED8" w:rsidP="00FD0ED8">
            <w:pPr>
              <w:spacing w:after="0" w:line="240" w:lineRule="auto"/>
              <w:rPr>
                <w:rFonts w:ascii="Times New Roman" w:eastAsia="Times New Roman" w:hAnsi="Times New Roman" w:cs="Times New Roman"/>
                <w:b/>
                <w:snapToGrid w:val="0"/>
                <w:sz w:val="24"/>
                <w:szCs w:val="20"/>
                <w:lang w:val="en-US"/>
              </w:rPr>
            </w:pPr>
          </w:p>
          <w:p w14:paraId="3390106B" w14:textId="2825A66F"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Access to the bank account has been resolved and Financial Regulations have been updated</w:t>
            </w:r>
          </w:p>
        </w:tc>
      </w:tr>
      <w:tr w:rsidR="00FD0ED8" w:rsidRPr="0093463B" w14:paraId="2FDFBE96" w14:textId="77777777" w:rsidTr="00D83B92">
        <w:tc>
          <w:tcPr>
            <w:tcW w:w="568" w:type="dxa"/>
            <w:tcBorders>
              <w:top w:val="single" w:sz="6" w:space="0" w:color="auto"/>
              <w:left w:val="single" w:sz="6" w:space="0" w:color="auto"/>
              <w:bottom w:val="single" w:sz="6" w:space="0" w:color="auto"/>
              <w:right w:val="single" w:sz="6" w:space="0" w:color="auto"/>
            </w:tcBorders>
          </w:tcPr>
          <w:p w14:paraId="03D45C2D" w14:textId="31AE2D13"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2</w:t>
            </w:r>
          </w:p>
        </w:tc>
        <w:tc>
          <w:tcPr>
            <w:tcW w:w="4396" w:type="dxa"/>
            <w:tcBorders>
              <w:top w:val="single" w:sz="4" w:space="0" w:color="auto"/>
              <w:left w:val="single" w:sz="6" w:space="0" w:color="auto"/>
              <w:bottom w:val="single" w:sz="6" w:space="0" w:color="auto"/>
              <w:right w:val="single" w:sz="4" w:space="0" w:color="auto"/>
            </w:tcBorders>
          </w:tcPr>
          <w:p w14:paraId="6B369E68" w14:textId="630AEA14" w:rsidR="00FD0ED8" w:rsidRPr="0086273E" w:rsidRDefault="00FD0ED8" w:rsidP="00FD0ED8">
            <w:pPr>
              <w:spacing w:after="0" w:line="240" w:lineRule="auto"/>
              <w:rPr>
                <w:rFonts w:ascii="Times New Roman" w:eastAsia="Times New Roman" w:hAnsi="Times New Roman" w:cs="Times New Roman"/>
                <w:b/>
                <w:bCs/>
                <w:sz w:val="24"/>
                <w:szCs w:val="24"/>
                <w:lang w:eastAsia="en-GB"/>
              </w:rPr>
            </w:pPr>
            <w:r w:rsidRPr="0086273E">
              <w:rPr>
                <w:rFonts w:ascii="Times New Roman" w:eastAsia="Times New Roman" w:hAnsi="Times New Roman" w:cs="Times New Roman"/>
                <w:b/>
                <w:bCs/>
                <w:sz w:val="24"/>
                <w:szCs w:val="24"/>
                <w:lang w:eastAsia="en-GB"/>
              </w:rPr>
              <w:t>The minutes record the appointment of an individual to the clerk and RFO role with a set SCP and weekly hours. However, the minutes then record that the individual is appointed as a contractor. The minutes also record significant solicitor fees incurred to produce a contract ‘to ensure IR35 compliance’, Further review identified that in fact the RFO ‘contractor’ is being paid gross through a limited company.</w:t>
            </w:r>
          </w:p>
          <w:p w14:paraId="1E1FEDBD" w14:textId="49F02488" w:rsidR="00FD0ED8" w:rsidRPr="0086273E" w:rsidRDefault="00FD0ED8" w:rsidP="00FD0ED8">
            <w:pPr>
              <w:spacing w:after="0" w:line="240" w:lineRule="auto"/>
              <w:rPr>
                <w:rFonts w:ascii="Times New Roman" w:eastAsia="Times New Roman" w:hAnsi="Times New Roman" w:cs="Times New Roman"/>
                <w:b/>
                <w:bCs/>
                <w:sz w:val="24"/>
                <w:szCs w:val="24"/>
                <w:lang w:eastAsia="en-GB"/>
              </w:rPr>
            </w:pPr>
          </w:p>
          <w:p w14:paraId="1CB65594" w14:textId="619DCBAF" w:rsidR="00FD0ED8" w:rsidRPr="0086273E" w:rsidRDefault="00FD0ED8" w:rsidP="00FD0ED8">
            <w:pPr>
              <w:spacing w:after="0" w:line="240" w:lineRule="auto"/>
              <w:rPr>
                <w:rFonts w:ascii="Times New Roman" w:eastAsia="Times New Roman" w:hAnsi="Times New Roman" w:cs="Times New Roman"/>
                <w:b/>
                <w:bCs/>
                <w:sz w:val="24"/>
                <w:szCs w:val="24"/>
                <w:lang w:eastAsia="en-GB"/>
              </w:rPr>
            </w:pPr>
            <w:r w:rsidRPr="0086273E">
              <w:rPr>
                <w:rFonts w:ascii="Times New Roman" w:eastAsia="Times New Roman" w:hAnsi="Times New Roman" w:cs="Times New Roman"/>
                <w:b/>
                <w:bCs/>
                <w:sz w:val="24"/>
                <w:szCs w:val="24"/>
                <w:lang w:eastAsia="en-GB"/>
              </w:rPr>
              <w:t>S151 of the L.G. Act 1972 requires the parish council to appoint a Responsible Financial Officer (RFO). A limited company cannot perform the RFO role of a parish council as the RFO has to be a living person. Therefore the council has been operating in breach of the L.G. Act 1972.</w:t>
            </w:r>
          </w:p>
          <w:p w14:paraId="04E0DA15" w14:textId="58A7A83F" w:rsidR="00FD0ED8" w:rsidRPr="0086273E" w:rsidRDefault="00FD0ED8" w:rsidP="00FD0ED8">
            <w:pPr>
              <w:spacing w:after="0" w:line="240" w:lineRule="auto"/>
              <w:rPr>
                <w:rFonts w:ascii="Times New Roman" w:eastAsia="Times New Roman" w:hAnsi="Times New Roman" w:cs="Times New Roman"/>
                <w:b/>
                <w:bCs/>
                <w:sz w:val="24"/>
                <w:szCs w:val="24"/>
                <w:lang w:val="en-US"/>
              </w:rPr>
            </w:pPr>
          </w:p>
        </w:tc>
        <w:tc>
          <w:tcPr>
            <w:tcW w:w="4398" w:type="dxa"/>
            <w:tcBorders>
              <w:top w:val="single" w:sz="4" w:space="0" w:color="auto"/>
              <w:left w:val="single" w:sz="4" w:space="0" w:color="auto"/>
              <w:bottom w:val="single" w:sz="6" w:space="0" w:color="auto"/>
              <w:right w:val="single" w:sz="6" w:space="0" w:color="auto"/>
            </w:tcBorders>
          </w:tcPr>
          <w:p w14:paraId="62DB0A04" w14:textId="77777777" w:rsidR="00FD0ED8" w:rsidRPr="0086273E" w:rsidRDefault="00FD0ED8" w:rsidP="00FD0ED8">
            <w:pPr>
              <w:pStyle w:val="TableText"/>
              <w:jc w:val="left"/>
              <w:rPr>
                <w:b/>
                <w:bCs/>
                <w:i/>
                <w:snapToGrid w:val="0"/>
                <w:szCs w:val="24"/>
              </w:rPr>
            </w:pPr>
            <w:r w:rsidRPr="0086273E">
              <w:rPr>
                <w:b/>
                <w:bCs/>
                <w:i/>
                <w:snapToGrid w:val="0"/>
                <w:szCs w:val="24"/>
              </w:rPr>
              <w:t xml:space="preserve">The current position whereby a limited company is delivering the clerk and RFO role should cease as soon as possible. </w:t>
            </w:r>
          </w:p>
          <w:p w14:paraId="3D859513" w14:textId="77777777" w:rsidR="00FD0ED8" w:rsidRPr="0086273E" w:rsidRDefault="00FD0ED8" w:rsidP="00FD0ED8">
            <w:pPr>
              <w:pStyle w:val="TableText"/>
              <w:jc w:val="left"/>
              <w:rPr>
                <w:b/>
                <w:bCs/>
                <w:i/>
                <w:snapToGrid w:val="0"/>
                <w:szCs w:val="24"/>
              </w:rPr>
            </w:pPr>
          </w:p>
          <w:p w14:paraId="5587AA16" w14:textId="081C3763" w:rsidR="00FD0ED8" w:rsidRPr="0086273E" w:rsidRDefault="00FD0ED8" w:rsidP="00FD0ED8">
            <w:pPr>
              <w:pStyle w:val="TableText"/>
              <w:jc w:val="left"/>
              <w:rPr>
                <w:b/>
                <w:bCs/>
                <w:i/>
              </w:rPr>
            </w:pPr>
            <w:r w:rsidRPr="0086273E">
              <w:rPr>
                <w:b/>
                <w:bCs/>
                <w:i/>
                <w:snapToGrid w:val="0"/>
                <w:szCs w:val="24"/>
              </w:rPr>
              <w:t xml:space="preserve">The individual should have been appointed as an employee and </w:t>
            </w:r>
            <w:r w:rsidRPr="0086273E">
              <w:rPr>
                <w:b/>
                <w:bCs/>
                <w:i/>
              </w:rPr>
              <w:t xml:space="preserve">HMRC issued guidance in March 2011 setting out the correct Income Tax and NIC treatment of parish clerks. This guidance confirms that a parish clerk is an office holder and that all office holders are subject to PAYE. This means that parish clerks: </w:t>
            </w:r>
          </w:p>
          <w:p w14:paraId="5094EA3A" w14:textId="77777777" w:rsidR="00FD0ED8" w:rsidRPr="0086273E" w:rsidRDefault="00FD0ED8" w:rsidP="00FD0ED8">
            <w:pPr>
              <w:pStyle w:val="TableText"/>
              <w:ind w:left="720"/>
              <w:jc w:val="left"/>
              <w:rPr>
                <w:b/>
                <w:bCs/>
                <w:i/>
              </w:rPr>
            </w:pPr>
            <w:r w:rsidRPr="0086273E">
              <w:rPr>
                <w:b/>
                <w:bCs/>
                <w:i/>
              </w:rPr>
              <w:sym w:font="Symbol" w:char="F0B7"/>
            </w:r>
            <w:r w:rsidRPr="0086273E">
              <w:rPr>
                <w:b/>
                <w:bCs/>
                <w:i/>
              </w:rPr>
              <w:t xml:space="preserve"> can never be considered as self-employed for tax or NIC purposes; </w:t>
            </w:r>
            <w:r w:rsidRPr="0086273E">
              <w:rPr>
                <w:b/>
                <w:bCs/>
                <w:i/>
              </w:rPr>
              <w:sym w:font="Symbol" w:char="F0B7"/>
            </w:r>
            <w:r w:rsidRPr="0086273E">
              <w:rPr>
                <w:b/>
                <w:bCs/>
                <w:i/>
              </w:rPr>
              <w:t xml:space="preserve"> cannot be paid ‘gross’; and </w:t>
            </w:r>
          </w:p>
          <w:p w14:paraId="7BEAA3E9" w14:textId="77777777" w:rsidR="00FD0ED8" w:rsidRPr="0086273E" w:rsidRDefault="00FD0ED8" w:rsidP="00FD0ED8">
            <w:pPr>
              <w:pStyle w:val="TableText"/>
              <w:ind w:left="720"/>
              <w:jc w:val="left"/>
              <w:rPr>
                <w:b/>
                <w:bCs/>
                <w:i/>
              </w:rPr>
            </w:pPr>
            <w:r w:rsidRPr="0086273E">
              <w:rPr>
                <w:b/>
                <w:bCs/>
                <w:i/>
              </w:rPr>
              <w:sym w:font="Symbol" w:char="F0B7"/>
            </w:r>
            <w:r w:rsidRPr="0086273E">
              <w:rPr>
                <w:b/>
                <w:bCs/>
                <w:i/>
              </w:rPr>
              <w:t xml:space="preserve"> fall to be taxed under PAYE</w:t>
            </w:r>
          </w:p>
          <w:p w14:paraId="4EA62911" w14:textId="77777777" w:rsidR="00FD0ED8" w:rsidRPr="0086273E" w:rsidRDefault="00FD0ED8" w:rsidP="00FD0ED8">
            <w:pPr>
              <w:spacing w:after="0" w:line="240" w:lineRule="auto"/>
              <w:rPr>
                <w:rFonts w:ascii="Times New Roman" w:eastAsia="Times New Roman" w:hAnsi="Times New Roman" w:cs="Times New Roman"/>
                <w:b/>
                <w:bCs/>
                <w:i/>
                <w:snapToGrid w:val="0"/>
                <w:sz w:val="24"/>
                <w:szCs w:val="24"/>
                <w:lang w:val="en-US"/>
              </w:rPr>
            </w:pPr>
          </w:p>
          <w:p w14:paraId="30B9A9DF" w14:textId="2B186314" w:rsidR="00FD0ED8" w:rsidRPr="0086273E" w:rsidRDefault="00FD0ED8" w:rsidP="00FD0ED8">
            <w:pPr>
              <w:spacing w:after="0" w:line="240" w:lineRule="auto"/>
              <w:rPr>
                <w:rFonts w:ascii="Times New Roman" w:eastAsia="Times New Roman" w:hAnsi="Times New Roman" w:cs="Times New Roman"/>
                <w:b/>
                <w:bCs/>
                <w:i/>
                <w:snapToGrid w:val="0"/>
                <w:sz w:val="24"/>
                <w:szCs w:val="24"/>
                <w:lang w:val="en-US"/>
              </w:rPr>
            </w:pPr>
            <w:r w:rsidRPr="0086273E">
              <w:rPr>
                <w:rFonts w:ascii="Times New Roman" w:eastAsia="Times New Roman" w:hAnsi="Times New Roman" w:cs="Times New Roman"/>
                <w:b/>
                <w:bCs/>
                <w:i/>
                <w:snapToGrid w:val="0"/>
                <w:sz w:val="24"/>
                <w:szCs w:val="24"/>
                <w:lang w:val="en-US"/>
              </w:rPr>
              <w:t>Therefore, the council should liaise with HMRC over this situation and ensure any PAYE/NIC liabilities due are paid.</w:t>
            </w:r>
          </w:p>
          <w:p w14:paraId="411AFFCA" w14:textId="4AD4CB51" w:rsidR="00FD0ED8" w:rsidRPr="0086273E" w:rsidRDefault="00FD0ED8" w:rsidP="00FD0ED8">
            <w:pPr>
              <w:spacing w:after="0" w:line="240" w:lineRule="auto"/>
              <w:rPr>
                <w:rFonts w:ascii="Times New Roman" w:eastAsia="Times New Roman" w:hAnsi="Times New Roman" w:cs="Times New Roman"/>
                <w:b/>
                <w:bCs/>
                <w:i/>
                <w:snapToGrid w:val="0"/>
                <w:sz w:val="24"/>
                <w:szCs w:val="24"/>
                <w:lang w:val="en-US"/>
              </w:rPr>
            </w:pPr>
          </w:p>
        </w:tc>
        <w:tc>
          <w:tcPr>
            <w:tcW w:w="4399" w:type="dxa"/>
            <w:tcBorders>
              <w:top w:val="single" w:sz="6" w:space="0" w:color="auto"/>
              <w:left w:val="single" w:sz="6" w:space="0" w:color="auto"/>
              <w:bottom w:val="single" w:sz="6" w:space="0" w:color="auto"/>
              <w:right w:val="single" w:sz="6" w:space="0" w:color="auto"/>
            </w:tcBorders>
          </w:tcPr>
          <w:p w14:paraId="43D3D002" w14:textId="32D8FF90"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See 2019/20 issues</w:t>
            </w:r>
          </w:p>
        </w:tc>
      </w:tr>
      <w:tr w:rsidR="00FD0ED8" w:rsidRPr="0093463B" w14:paraId="23D66C3C" w14:textId="77777777" w:rsidTr="00D83B92">
        <w:tc>
          <w:tcPr>
            <w:tcW w:w="568" w:type="dxa"/>
            <w:tcBorders>
              <w:top w:val="single" w:sz="6" w:space="0" w:color="auto"/>
              <w:left w:val="single" w:sz="6" w:space="0" w:color="auto"/>
              <w:bottom w:val="single" w:sz="6" w:space="0" w:color="auto"/>
              <w:right w:val="single" w:sz="6" w:space="0" w:color="auto"/>
            </w:tcBorders>
          </w:tcPr>
          <w:p w14:paraId="359F3C83" w14:textId="0203FA10"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3</w:t>
            </w:r>
          </w:p>
        </w:tc>
        <w:tc>
          <w:tcPr>
            <w:tcW w:w="4396" w:type="dxa"/>
            <w:tcBorders>
              <w:top w:val="single" w:sz="4" w:space="0" w:color="auto"/>
              <w:left w:val="single" w:sz="6" w:space="0" w:color="auto"/>
              <w:bottom w:val="single" w:sz="6" w:space="0" w:color="auto"/>
              <w:right w:val="single" w:sz="4" w:space="0" w:color="auto"/>
            </w:tcBorders>
          </w:tcPr>
          <w:p w14:paraId="3E31B812" w14:textId="42131C5E" w:rsidR="00FD0ED8" w:rsidRPr="00117D67" w:rsidRDefault="00FD0ED8" w:rsidP="00FD0ED8">
            <w:pPr>
              <w:rPr>
                <w:rFonts w:ascii="Times New Roman" w:eastAsia="Times New Roman" w:hAnsi="Times New Roman" w:cs="Times New Roman"/>
                <w:color w:val="212121"/>
                <w:sz w:val="24"/>
                <w:szCs w:val="24"/>
                <w:lang w:eastAsia="en-GB"/>
              </w:rPr>
            </w:pPr>
            <w:r w:rsidRPr="00114E49">
              <w:rPr>
                <w:rFonts w:ascii="Times New Roman" w:eastAsia="Times New Roman" w:hAnsi="Times New Roman" w:cs="Times New Roman"/>
                <w:color w:val="212121"/>
                <w:sz w:val="24"/>
                <w:szCs w:val="24"/>
                <w:lang w:eastAsia="en-GB"/>
              </w:rPr>
              <w:t xml:space="preserve">There are a number of Working </w:t>
            </w:r>
            <w:r w:rsidRPr="00117D67">
              <w:rPr>
                <w:rFonts w:ascii="Times New Roman" w:eastAsia="Times New Roman" w:hAnsi="Times New Roman" w:cs="Times New Roman"/>
                <w:color w:val="212121"/>
                <w:sz w:val="24"/>
                <w:szCs w:val="24"/>
                <w:lang w:eastAsia="en-GB"/>
              </w:rPr>
              <w:t>Groups/</w:t>
            </w:r>
            <w:r w:rsidRPr="00114E49">
              <w:rPr>
                <w:rFonts w:ascii="Times New Roman" w:eastAsia="Times New Roman" w:hAnsi="Times New Roman" w:cs="Times New Roman"/>
                <w:color w:val="212121"/>
                <w:sz w:val="24"/>
                <w:szCs w:val="24"/>
                <w:lang w:eastAsia="en-GB"/>
              </w:rPr>
              <w:t xml:space="preserve">Parties </w:t>
            </w:r>
            <w:r w:rsidRPr="00117D67">
              <w:rPr>
                <w:rFonts w:ascii="Times New Roman" w:eastAsia="Times New Roman" w:hAnsi="Times New Roman" w:cs="Times New Roman"/>
                <w:color w:val="212121"/>
                <w:sz w:val="24"/>
                <w:szCs w:val="24"/>
                <w:lang w:eastAsia="en-GB"/>
              </w:rPr>
              <w:t xml:space="preserve">that appear to be able to </w:t>
            </w:r>
            <w:r w:rsidRPr="00114E49">
              <w:rPr>
                <w:rFonts w:ascii="Times New Roman" w:eastAsia="Times New Roman" w:hAnsi="Times New Roman" w:cs="Times New Roman"/>
                <w:color w:val="212121"/>
                <w:sz w:val="24"/>
                <w:szCs w:val="24"/>
                <w:lang w:eastAsia="en-GB"/>
              </w:rPr>
              <w:t>commit</w:t>
            </w:r>
            <w:r w:rsidRPr="00117D67">
              <w:rPr>
                <w:rFonts w:ascii="Times New Roman" w:eastAsia="Times New Roman" w:hAnsi="Times New Roman" w:cs="Times New Roman"/>
                <w:color w:val="212121"/>
                <w:sz w:val="24"/>
                <w:szCs w:val="24"/>
                <w:lang w:eastAsia="en-GB"/>
              </w:rPr>
              <w:t xml:space="preserve"> the council to expenditure</w:t>
            </w:r>
            <w:r w:rsidRPr="00114E49">
              <w:rPr>
                <w:rFonts w:ascii="Times New Roman" w:eastAsia="Times New Roman" w:hAnsi="Times New Roman" w:cs="Times New Roman"/>
                <w:color w:val="212121"/>
                <w:sz w:val="24"/>
                <w:szCs w:val="24"/>
                <w:lang w:eastAsia="en-GB"/>
              </w:rPr>
              <w:t xml:space="preserve"> for events</w:t>
            </w:r>
            <w:r w:rsidRPr="00117D67">
              <w:rPr>
                <w:rFonts w:ascii="Times New Roman" w:eastAsia="Times New Roman" w:hAnsi="Times New Roman" w:cs="Times New Roman"/>
                <w:color w:val="212121"/>
                <w:sz w:val="24"/>
                <w:szCs w:val="24"/>
                <w:lang w:eastAsia="en-GB"/>
              </w:rPr>
              <w:t xml:space="preserve">. </w:t>
            </w:r>
          </w:p>
          <w:p w14:paraId="38E13406" w14:textId="782EF0A6" w:rsidR="00FD0ED8" w:rsidRPr="0073744A"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top w:val="single" w:sz="4" w:space="0" w:color="auto"/>
              <w:left w:val="single" w:sz="4" w:space="0" w:color="auto"/>
              <w:bottom w:val="single" w:sz="6" w:space="0" w:color="auto"/>
              <w:right w:val="single" w:sz="6" w:space="0" w:color="auto"/>
            </w:tcBorders>
          </w:tcPr>
          <w:p w14:paraId="1B88455A" w14:textId="32B81940" w:rsidR="00FD0ED8" w:rsidRPr="0073744A"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val="en-US"/>
              </w:rPr>
            </w:pPr>
            <w:r w:rsidRPr="00117D67">
              <w:rPr>
                <w:rFonts w:ascii="Times New Roman" w:eastAsia="Times New Roman" w:hAnsi="Times New Roman" w:cs="Times New Roman"/>
                <w:bCs/>
                <w:i/>
                <w:sz w:val="24"/>
                <w:szCs w:val="24"/>
                <w:lang w:val="en-US"/>
              </w:rPr>
              <w:t xml:space="preserve">To </w:t>
            </w:r>
            <w:r>
              <w:rPr>
                <w:rFonts w:ascii="Times New Roman" w:eastAsia="Times New Roman" w:hAnsi="Times New Roman" w:cs="Times New Roman"/>
                <w:i/>
                <w:sz w:val="24"/>
                <w:szCs w:val="24"/>
                <w:lang w:val="en-US"/>
              </w:rPr>
              <w:t>ensure no working group can take financial or non-financial decisions, the council should urgently review options for the way forward which should as a minimum consider the following:</w:t>
            </w:r>
          </w:p>
          <w:p w14:paraId="55D94E82"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14:paraId="0CA5AFA4" w14:textId="77777777" w:rsidR="00FD0ED8" w:rsidRDefault="00FD0ED8" w:rsidP="00FD0ED8">
            <w:pPr>
              <w:pStyle w:val="ListParagraph"/>
              <w:numPr>
                <w:ilvl w:val="0"/>
                <w:numId w:val="43"/>
              </w:num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All working groups will become sub-committees of the council</w:t>
            </w:r>
          </w:p>
          <w:p w14:paraId="4B4FD4F5" w14:textId="327D54D3" w:rsidR="00FD0ED8" w:rsidRDefault="00FD0ED8" w:rsidP="00FD0ED8">
            <w:pPr>
              <w:pStyle w:val="ListParagraph"/>
              <w:numPr>
                <w:ilvl w:val="0"/>
                <w:numId w:val="43"/>
              </w:num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Working groups continue but with a clear Terms of Reference and associated internal controls preventing any decisions being made by the groups or commitments to expenditure</w:t>
            </w:r>
          </w:p>
          <w:p w14:paraId="50A9A58D" w14:textId="77777777" w:rsidR="00FD0ED8" w:rsidRDefault="00FD0ED8" w:rsidP="00FD0ED8">
            <w:pPr>
              <w:pStyle w:val="ListParagraph"/>
              <w:numPr>
                <w:ilvl w:val="0"/>
                <w:numId w:val="43"/>
              </w:num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Officers carrying out the functions of some or all working groups</w:t>
            </w:r>
          </w:p>
          <w:p w14:paraId="1740F74E"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14:paraId="325C2016" w14:textId="320E216C"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The option chosen by the council should be implemented promptly after the council decision.</w:t>
            </w:r>
          </w:p>
          <w:p w14:paraId="32959A21"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tc>
        <w:tc>
          <w:tcPr>
            <w:tcW w:w="4399" w:type="dxa"/>
            <w:tcBorders>
              <w:top w:val="single" w:sz="6" w:space="0" w:color="auto"/>
              <w:left w:val="single" w:sz="6" w:space="0" w:color="auto"/>
              <w:bottom w:val="single" w:sz="6" w:space="0" w:color="auto"/>
              <w:right w:val="single" w:sz="6" w:space="0" w:color="auto"/>
            </w:tcBorders>
          </w:tcPr>
          <w:p w14:paraId="3046B68F" w14:textId="361C53F7"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Implemented – the Events working group was changed to a sub-committee of the council</w:t>
            </w:r>
          </w:p>
        </w:tc>
      </w:tr>
      <w:tr w:rsidR="00FD0ED8" w:rsidRPr="0093463B" w14:paraId="2C4E74B4" w14:textId="77777777" w:rsidTr="00D83B92">
        <w:tc>
          <w:tcPr>
            <w:tcW w:w="568" w:type="dxa"/>
            <w:tcBorders>
              <w:top w:val="single" w:sz="6" w:space="0" w:color="auto"/>
              <w:left w:val="single" w:sz="6" w:space="0" w:color="auto"/>
              <w:bottom w:val="single" w:sz="6" w:space="0" w:color="auto"/>
              <w:right w:val="single" w:sz="6" w:space="0" w:color="auto"/>
            </w:tcBorders>
          </w:tcPr>
          <w:p w14:paraId="6DB581C4" w14:textId="706D7012"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4</w:t>
            </w:r>
          </w:p>
        </w:tc>
        <w:tc>
          <w:tcPr>
            <w:tcW w:w="4396" w:type="dxa"/>
            <w:tcBorders>
              <w:top w:val="single" w:sz="4" w:space="0" w:color="auto"/>
              <w:left w:val="single" w:sz="6" w:space="0" w:color="auto"/>
              <w:bottom w:val="single" w:sz="6" w:space="0" w:color="auto"/>
              <w:right w:val="single" w:sz="4" w:space="0" w:color="auto"/>
            </w:tcBorders>
          </w:tcPr>
          <w:p w14:paraId="080904A6" w14:textId="7E7FF0B0"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There is limited evidence in the minutes of the council receiving and reviewing regular budgetary control information showing expenditure against budget including projected outturn for the year.</w:t>
            </w:r>
          </w:p>
          <w:p w14:paraId="7E43D9FB"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0611583C" w14:textId="0C0E6CD8"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4"/>
                <w:lang w:val="en-US"/>
              </w:rPr>
              <w:t>The budget set for the fina</w:t>
            </w:r>
            <w:r w:rsidRPr="00AB46F7">
              <w:rPr>
                <w:rFonts w:ascii="Times New Roman" w:eastAsia="Times New Roman" w:hAnsi="Times New Roman" w:cs="Times New Roman"/>
                <w:sz w:val="24"/>
                <w:szCs w:val="24"/>
                <w:lang w:val="en-US"/>
              </w:rPr>
              <w:t>ncial year does not</w:t>
            </w:r>
            <w:r>
              <w:rPr>
                <w:rFonts w:ascii="Times New Roman" w:eastAsia="Times New Roman" w:hAnsi="Times New Roman" w:cs="Times New Roman"/>
                <w:sz w:val="24"/>
                <w:szCs w:val="20"/>
                <w:lang w:val="en-US"/>
              </w:rPr>
              <w:t xml:space="preserve"> </w:t>
            </w:r>
            <w:r w:rsidRPr="00AB46F7">
              <w:rPr>
                <w:rFonts w:ascii="Times New Roman" w:eastAsia="Times New Roman" w:hAnsi="Times New Roman" w:cs="Times New Roman"/>
                <w:sz w:val="24"/>
                <w:szCs w:val="20"/>
                <w:lang w:val="en-US"/>
              </w:rPr>
              <w:t xml:space="preserve">take into account </w:t>
            </w:r>
            <w:r>
              <w:rPr>
                <w:rFonts w:ascii="Times New Roman" w:eastAsia="Times New Roman" w:hAnsi="Times New Roman" w:cs="Times New Roman"/>
                <w:sz w:val="24"/>
                <w:szCs w:val="20"/>
                <w:lang w:val="en-US"/>
              </w:rPr>
              <w:t xml:space="preserve">of </w:t>
            </w:r>
            <w:r w:rsidRPr="005E51D1">
              <w:rPr>
                <w:rFonts w:ascii="Times New Roman" w:eastAsia="Times New Roman" w:hAnsi="Times New Roman" w:cs="Times New Roman"/>
                <w:i/>
                <w:iCs/>
                <w:sz w:val="24"/>
                <w:szCs w:val="20"/>
                <w:lang w:val="en-US"/>
              </w:rPr>
              <w:t>‘an amount that the council estimates will be appropriate to meet future estimated expenditure’</w:t>
            </w:r>
            <w:r w:rsidRPr="00AB46F7">
              <w:rPr>
                <w:rFonts w:ascii="Times New Roman" w:eastAsia="Times New Roman" w:hAnsi="Times New Roman" w:cs="Times New Roman"/>
                <w:sz w:val="24"/>
                <w:szCs w:val="20"/>
                <w:lang w:val="en-US"/>
              </w:rPr>
              <w:t xml:space="preserve"> (</w:t>
            </w:r>
            <w:proofErr w:type="spellStart"/>
            <w:r w:rsidRPr="00AB46F7">
              <w:rPr>
                <w:rFonts w:ascii="Times New Roman" w:eastAsia="Times New Roman" w:hAnsi="Times New Roman" w:cs="Times New Roman"/>
                <w:sz w:val="24"/>
                <w:szCs w:val="20"/>
                <w:lang w:val="en-US"/>
              </w:rPr>
              <w:t>ie</w:t>
            </w:r>
            <w:proofErr w:type="spellEnd"/>
            <w:r w:rsidRPr="00AB46F7">
              <w:rPr>
                <w:rFonts w:ascii="Times New Roman" w:eastAsia="Times New Roman" w:hAnsi="Times New Roman" w:cs="Times New Roman"/>
                <w:sz w:val="24"/>
                <w:szCs w:val="20"/>
                <w:lang w:val="en-US"/>
              </w:rPr>
              <w:t xml:space="preserve"> to hold in reserves)</w:t>
            </w:r>
            <w:r>
              <w:rPr>
                <w:rFonts w:ascii="Times New Roman" w:eastAsia="Times New Roman" w:hAnsi="Times New Roman" w:cs="Times New Roman"/>
                <w:sz w:val="24"/>
                <w:szCs w:val="20"/>
                <w:lang w:val="en-US"/>
              </w:rPr>
              <w:t xml:space="preserve">. This is a requirement of </w:t>
            </w:r>
            <w:r w:rsidRPr="00AB46F7">
              <w:rPr>
                <w:rFonts w:ascii="Times New Roman" w:eastAsia="Times New Roman" w:hAnsi="Times New Roman" w:cs="Times New Roman"/>
                <w:sz w:val="24"/>
                <w:szCs w:val="20"/>
                <w:lang w:val="en-US"/>
              </w:rPr>
              <w:t>the Local Government Finance Act 1992</w:t>
            </w:r>
            <w:r>
              <w:rPr>
                <w:rFonts w:ascii="Times New Roman" w:eastAsia="Times New Roman" w:hAnsi="Times New Roman" w:cs="Times New Roman"/>
                <w:sz w:val="24"/>
                <w:szCs w:val="20"/>
                <w:lang w:val="en-US"/>
              </w:rPr>
              <w:t xml:space="preserve">. </w:t>
            </w:r>
          </w:p>
          <w:p w14:paraId="20725B49" w14:textId="5E24B790"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14:paraId="41A30A6B" w14:textId="0BD8CF8F" w:rsidR="00FD0ED8" w:rsidRPr="00AB46F7"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0"/>
                <w:lang w:val="en-US"/>
              </w:rPr>
            </w:pPr>
            <w:r>
              <w:rPr>
                <w:rFonts w:ascii="Times New Roman" w:eastAsia="Times New Roman" w:hAnsi="Times New Roman" w:cs="Times New Roman"/>
                <w:sz w:val="24"/>
                <w:szCs w:val="20"/>
                <w:lang w:val="en-US"/>
              </w:rPr>
              <w:t>A tender exercise was carried out during the year for the car park project with the final cost being approximately 50% more than was originally estimated. No analysis was provided for internal audit to evidence the impact of the total expenditure on the car park project on total reserves of the council.</w:t>
            </w:r>
          </w:p>
          <w:p w14:paraId="67403104" w14:textId="3E9BDD19"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top w:val="single" w:sz="4" w:space="0" w:color="auto"/>
              <w:left w:val="single" w:sz="4" w:space="0" w:color="auto"/>
              <w:bottom w:val="single" w:sz="6" w:space="0" w:color="auto"/>
              <w:right w:val="single" w:sz="6" w:space="0" w:color="auto"/>
            </w:tcBorders>
          </w:tcPr>
          <w:p w14:paraId="1F5DD9D5"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Minutes should clearly evidence the regular review of budgetary control information including the projected outturn for the financial year.</w:t>
            </w:r>
          </w:p>
          <w:p w14:paraId="6C33F949"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1AA58163"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2FABA96A"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The annual budget to support the precept should take account of brought forward and carried forward reserves.</w:t>
            </w:r>
          </w:p>
          <w:p w14:paraId="746779E5"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11754769"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71784BAA"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056D1B29"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42F7A155"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24A54730" w14:textId="6301466D"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The council should produce an analysis of the total expenditure and income related to this project and the expected impact of  the reserves of the council.</w:t>
            </w:r>
          </w:p>
        </w:tc>
        <w:tc>
          <w:tcPr>
            <w:tcW w:w="4399" w:type="dxa"/>
            <w:tcBorders>
              <w:top w:val="single" w:sz="6" w:space="0" w:color="auto"/>
              <w:left w:val="single" w:sz="6" w:space="0" w:color="auto"/>
              <w:bottom w:val="single" w:sz="6" w:space="0" w:color="auto"/>
              <w:right w:val="single" w:sz="6" w:space="0" w:color="auto"/>
            </w:tcBorders>
          </w:tcPr>
          <w:p w14:paraId="73A8C304" w14:textId="56B89CBC"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See 2019/20 issues</w:t>
            </w:r>
          </w:p>
        </w:tc>
      </w:tr>
      <w:tr w:rsidR="00FD0ED8" w:rsidRPr="0093463B" w14:paraId="3EC556AC" w14:textId="77777777" w:rsidTr="00D83B92">
        <w:tc>
          <w:tcPr>
            <w:tcW w:w="568" w:type="dxa"/>
            <w:tcBorders>
              <w:top w:val="single" w:sz="6" w:space="0" w:color="auto"/>
              <w:left w:val="single" w:sz="6" w:space="0" w:color="auto"/>
              <w:bottom w:val="single" w:sz="6" w:space="0" w:color="auto"/>
              <w:right w:val="single" w:sz="6" w:space="0" w:color="auto"/>
            </w:tcBorders>
          </w:tcPr>
          <w:p w14:paraId="521A8A80" w14:textId="662AE1AA"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5</w:t>
            </w:r>
          </w:p>
        </w:tc>
        <w:tc>
          <w:tcPr>
            <w:tcW w:w="4396" w:type="dxa"/>
            <w:tcBorders>
              <w:top w:val="single" w:sz="4" w:space="0" w:color="auto"/>
              <w:left w:val="single" w:sz="6" w:space="0" w:color="auto"/>
              <w:bottom w:val="single" w:sz="6" w:space="0" w:color="auto"/>
              <w:right w:val="single" w:sz="4" w:space="0" w:color="auto"/>
            </w:tcBorders>
          </w:tcPr>
          <w:p w14:paraId="369C29A2" w14:textId="291D7C71"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 income records were provided to substantiate the income from the Christmas and Summer Fair events. It was not possible, therefore, to identify whether any expenditure relating to the events had been paid for by cash received. The bankings for the December 2017 Christmas event were not made until May/June 2018.</w:t>
            </w:r>
          </w:p>
          <w:p w14:paraId="17948FDA"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5F402431" w14:textId="27A59D69"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top w:val="single" w:sz="4" w:space="0" w:color="auto"/>
              <w:left w:val="single" w:sz="4" w:space="0" w:color="auto"/>
              <w:bottom w:val="single" w:sz="6" w:space="0" w:color="auto"/>
              <w:right w:val="single" w:sz="6" w:space="0" w:color="auto"/>
            </w:tcBorders>
          </w:tcPr>
          <w:p w14:paraId="3AB967E2" w14:textId="481B9535"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 xml:space="preserve">Income records should be retained for all events. If any expenditure is financed from cash income from events a record of the transaction and voucher should be retained. Income </w:t>
            </w:r>
            <w:proofErr w:type="spellStart"/>
            <w:r>
              <w:rPr>
                <w:rFonts w:ascii="Times New Roman" w:eastAsia="Times New Roman" w:hAnsi="Times New Roman" w:cs="Times New Roman"/>
                <w:i/>
                <w:snapToGrid w:val="0"/>
                <w:sz w:val="24"/>
                <w:szCs w:val="24"/>
                <w:lang w:val="en-US"/>
              </w:rPr>
              <w:t>form</w:t>
            </w:r>
            <w:proofErr w:type="spellEnd"/>
            <w:r>
              <w:rPr>
                <w:rFonts w:ascii="Times New Roman" w:eastAsia="Times New Roman" w:hAnsi="Times New Roman" w:cs="Times New Roman"/>
                <w:i/>
                <w:snapToGrid w:val="0"/>
                <w:sz w:val="24"/>
                <w:szCs w:val="24"/>
                <w:lang w:val="en-US"/>
              </w:rPr>
              <w:t xml:space="preserve"> events should be banked promptly to the reduce risk of loss of cash.</w:t>
            </w:r>
          </w:p>
        </w:tc>
        <w:tc>
          <w:tcPr>
            <w:tcW w:w="4399" w:type="dxa"/>
            <w:tcBorders>
              <w:top w:val="single" w:sz="6" w:space="0" w:color="auto"/>
              <w:left w:val="single" w:sz="6" w:space="0" w:color="auto"/>
              <w:bottom w:val="single" w:sz="6" w:space="0" w:color="auto"/>
              <w:right w:val="single" w:sz="6" w:space="0" w:color="auto"/>
            </w:tcBorders>
          </w:tcPr>
          <w:p w14:paraId="75D31B25" w14:textId="21B16064"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Implemented</w:t>
            </w:r>
          </w:p>
        </w:tc>
      </w:tr>
      <w:tr w:rsidR="00FD0ED8" w:rsidRPr="0093463B" w14:paraId="494410BB" w14:textId="77777777" w:rsidTr="00D83B92">
        <w:tc>
          <w:tcPr>
            <w:tcW w:w="568" w:type="dxa"/>
            <w:tcBorders>
              <w:top w:val="single" w:sz="6" w:space="0" w:color="auto"/>
              <w:left w:val="single" w:sz="6" w:space="0" w:color="auto"/>
              <w:bottom w:val="single" w:sz="6" w:space="0" w:color="auto"/>
              <w:right w:val="single" w:sz="6" w:space="0" w:color="auto"/>
            </w:tcBorders>
          </w:tcPr>
          <w:p w14:paraId="154A862D" w14:textId="6A908811"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6</w:t>
            </w:r>
          </w:p>
        </w:tc>
        <w:tc>
          <w:tcPr>
            <w:tcW w:w="4396" w:type="dxa"/>
            <w:tcBorders>
              <w:top w:val="single" w:sz="4" w:space="0" w:color="auto"/>
              <w:left w:val="single" w:sz="6" w:space="0" w:color="auto"/>
              <w:bottom w:val="single" w:sz="6" w:space="0" w:color="auto"/>
              <w:right w:val="single" w:sz="4" w:space="0" w:color="auto"/>
            </w:tcBorders>
          </w:tcPr>
          <w:p w14:paraId="2C7E46CD"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Expenditure testing identified the following:</w:t>
            </w:r>
          </w:p>
          <w:p w14:paraId="52DC40B6"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6168EAE2" w14:textId="5E53B220" w:rsidR="00FD0ED8" w:rsidRDefault="00FD0ED8" w:rsidP="00FD0ED8">
            <w:pPr>
              <w:pStyle w:val="ListParagraph"/>
              <w:numPr>
                <w:ilvl w:val="0"/>
                <w:numId w:val="4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minutes do not record the payments approved, either as a total that can be agreed to the payments schedule, or as individual payments. Therefore, there is no audit trail from the minutes to the payments that were actually approved.</w:t>
            </w:r>
          </w:p>
          <w:p w14:paraId="157F3CF0" w14:textId="77777777" w:rsidR="00FD0ED8" w:rsidRDefault="00FD0ED8" w:rsidP="00FD0ED8">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6F55B64E" w14:textId="77777777" w:rsidR="00FD0ED8" w:rsidRDefault="00FD0ED8" w:rsidP="00FD0ED8">
            <w:pPr>
              <w:pStyle w:val="ListParagraph"/>
              <w:numPr>
                <w:ilvl w:val="0"/>
                <w:numId w:val="4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Although BACS payment schedules are initialed by two members, no date is provided so it is not possible to evidence each BACS payment was authorised by two members before payment, as required by the Financial Regulations adopted in the financial year.</w:t>
            </w:r>
          </w:p>
          <w:p w14:paraId="6F378DE4" w14:textId="77777777" w:rsidR="00FD0ED8" w:rsidRDefault="00FD0ED8" w:rsidP="00FD0ED8">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670A2AE9" w14:textId="27C5ED91" w:rsidR="00FD0ED8" w:rsidRPr="000C634F" w:rsidRDefault="00FD0ED8" w:rsidP="00FD0ED8">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top w:val="single" w:sz="4" w:space="0" w:color="auto"/>
              <w:left w:val="single" w:sz="4" w:space="0" w:color="auto"/>
              <w:bottom w:val="single" w:sz="6" w:space="0" w:color="auto"/>
              <w:right w:val="single" w:sz="6" w:space="0" w:color="auto"/>
            </w:tcBorders>
          </w:tcPr>
          <w:p w14:paraId="2E85B997"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7F029C24"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335F071D"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28BC84CC"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Minutes should at least record the total of payments approved as per the payments schedule.</w:t>
            </w:r>
          </w:p>
          <w:p w14:paraId="0D0F4FF8"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60AE367F"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04432F6F"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510A077C"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5F51BE25"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22B3673B"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0C1D2030" w14:textId="498050C7"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When BACS payments are pre-authorised the date of the member authorisation should be recorded. (NB If the council moves online banking to the Unity Trust, as noted by the current clerk, then members will be able to login to the bank to provide two online authorisations for all payments.)</w:t>
            </w:r>
          </w:p>
        </w:tc>
        <w:tc>
          <w:tcPr>
            <w:tcW w:w="4399" w:type="dxa"/>
            <w:tcBorders>
              <w:top w:val="single" w:sz="6" w:space="0" w:color="auto"/>
              <w:left w:val="single" w:sz="6" w:space="0" w:color="auto"/>
              <w:bottom w:val="single" w:sz="6" w:space="0" w:color="auto"/>
              <w:right w:val="single" w:sz="6" w:space="0" w:color="auto"/>
            </w:tcBorders>
          </w:tcPr>
          <w:p w14:paraId="5468885C" w14:textId="2AF749E1"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See 2019/20 issues</w:t>
            </w:r>
          </w:p>
        </w:tc>
      </w:tr>
      <w:tr w:rsidR="00FD0ED8" w:rsidRPr="0093463B" w14:paraId="2A6D89E4" w14:textId="77777777" w:rsidTr="00D83B92">
        <w:tc>
          <w:tcPr>
            <w:tcW w:w="568" w:type="dxa"/>
            <w:tcBorders>
              <w:top w:val="single" w:sz="6" w:space="0" w:color="auto"/>
              <w:left w:val="single" w:sz="6" w:space="0" w:color="auto"/>
              <w:bottom w:val="single" w:sz="6" w:space="0" w:color="auto"/>
              <w:right w:val="single" w:sz="6" w:space="0" w:color="auto"/>
            </w:tcBorders>
          </w:tcPr>
          <w:p w14:paraId="7B31A185" w14:textId="474FC459"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7</w:t>
            </w:r>
          </w:p>
        </w:tc>
        <w:tc>
          <w:tcPr>
            <w:tcW w:w="4396" w:type="dxa"/>
            <w:tcBorders>
              <w:top w:val="single" w:sz="4" w:space="0" w:color="auto"/>
              <w:left w:val="single" w:sz="6" w:space="0" w:color="auto"/>
              <w:bottom w:val="single" w:sz="6" w:space="0" w:color="auto"/>
              <w:right w:val="single" w:sz="4" w:space="0" w:color="auto"/>
            </w:tcBorders>
          </w:tcPr>
          <w:p w14:paraId="5A941867" w14:textId="2EE11E30"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website for the parish council does not currently appear to be operational. Therefore, the information recommended by the Transparency Code is not available for the public to view on a website.</w:t>
            </w:r>
          </w:p>
          <w:p w14:paraId="1959DED2"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3A0E60BB" w14:textId="395F5558"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top w:val="single" w:sz="4" w:space="0" w:color="auto"/>
              <w:left w:val="single" w:sz="4" w:space="0" w:color="auto"/>
              <w:bottom w:val="single" w:sz="6" w:space="0" w:color="auto"/>
              <w:right w:val="single" w:sz="6" w:space="0" w:color="auto"/>
            </w:tcBorders>
          </w:tcPr>
          <w:p w14:paraId="54A1B1AF" w14:textId="5BA6248D"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The council should ensure that a website is established that includes, inter alia, the information recommended in the Transparency Code.</w:t>
            </w:r>
          </w:p>
        </w:tc>
        <w:tc>
          <w:tcPr>
            <w:tcW w:w="4399" w:type="dxa"/>
            <w:tcBorders>
              <w:top w:val="single" w:sz="6" w:space="0" w:color="auto"/>
              <w:left w:val="single" w:sz="6" w:space="0" w:color="auto"/>
              <w:bottom w:val="single" w:sz="6" w:space="0" w:color="auto"/>
              <w:right w:val="single" w:sz="6" w:space="0" w:color="auto"/>
            </w:tcBorders>
          </w:tcPr>
          <w:p w14:paraId="5A2A78EA" w14:textId="2448807F"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Implemented</w:t>
            </w:r>
          </w:p>
        </w:tc>
      </w:tr>
      <w:tr w:rsidR="00FD0ED8" w:rsidRPr="0093463B" w14:paraId="2098DD15" w14:textId="77777777" w:rsidTr="000826DB">
        <w:tc>
          <w:tcPr>
            <w:tcW w:w="13761" w:type="dxa"/>
            <w:gridSpan w:val="4"/>
            <w:tcBorders>
              <w:top w:val="single" w:sz="6" w:space="0" w:color="auto"/>
              <w:left w:val="single" w:sz="6" w:space="0" w:color="auto"/>
              <w:bottom w:val="single" w:sz="6" w:space="0" w:color="auto"/>
              <w:right w:val="single" w:sz="6" w:space="0" w:color="auto"/>
            </w:tcBorders>
          </w:tcPr>
          <w:p w14:paraId="39093EDA" w14:textId="77777777" w:rsidR="00FD0ED8" w:rsidRDefault="00FD0ED8" w:rsidP="00FD0ED8">
            <w:pPr>
              <w:spacing w:after="0" w:line="240" w:lineRule="auto"/>
              <w:rPr>
                <w:b/>
              </w:rPr>
            </w:pPr>
            <w:r>
              <w:rPr>
                <w:b/>
              </w:rPr>
              <w:t>IMPORTANT GUIDANCE NOTE</w:t>
            </w:r>
          </w:p>
          <w:p w14:paraId="32BCF8FA" w14:textId="77777777" w:rsidR="00FD0ED8" w:rsidRDefault="00FD0ED8" w:rsidP="00FD0ED8">
            <w:pPr>
              <w:spacing w:after="0" w:line="240" w:lineRule="auto"/>
              <w:rPr>
                <w:b/>
              </w:rPr>
            </w:pPr>
          </w:p>
          <w:p w14:paraId="16A8691D" w14:textId="77777777" w:rsidR="00FD0ED8" w:rsidRDefault="00FD0ED8" w:rsidP="00FD0ED8">
            <w:pPr>
              <w:spacing w:after="0" w:line="240" w:lineRule="auto"/>
              <w:rPr>
                <w:b/>
              </w:rPr>
            </w:pPr>
            <w:r>
              <w:rPr>
                <w:b/>
              </w:rPr>
              <w:t>INTERNAL AUDIT CERTIFICATE in the AGAR</w:t>
            </w:r>
          </w:p>
          <w:p w14:paraId="55D52C4A" w14:textId="77777777" w:rsidR="00FD0ED8" w:rsidRDefault="00FD0ED8" w:rsidP="00FD0ED8">
            <w:pPr>
              <w:spacing w:after="0" w:line="240" w:lineRule="auto"/>
            </w:pPr>
          </w:p>
          <w:p w14:paraId="6E10F9E8" w14:textId="77777777" w:rsidR="00FD0ED8" w:rsidRDefault="00FD0ED8" w:rsidP="00FD0ED8">
            <w:pPr>
              <w:spacing w:after="0" w:line="240" w:lineRule="auto"/>
            </w:pPr>
            <w:r>
              <w:t xml:space="preserve">There is a new internal control objective (Objective L) in the 2018/19 internal audit certificate that requires internal audit to conclude on whether the Public Rights Notice during the </w:t>
            </w:r>
            <w:r>
              <w:rPr>
                <w:b/>
              </w:rPr>
              <w:t xml:space="preserve">previous Summer </w:t>
            </w:r>
            <w:r>
              <w:t>was compliant with the Regulations. This is pre-filled for 2018/19 but in order to test this and conclude YES or NO for the 2019/20 internal audit we would need to receive with the 2019/20 books and records:</w:t>
            </w:r>
          </w:p>
          <w:p w14:paraId="1C50301F" w14:textId="77777777" w:rsidR="00FD0ED8" w:rsidRDefault="00FD0ED8" w:rsidP="00FD0ED8">
            <w:pPr>
              <w:spacing w:after="0" w:line="240" w:lineRule="auto"/>
            </w:pPr>
          </w:p>
          <w:p w14:paraId="4B52CC09" w14:textId="77777777" w:rsidR="00FD0ED8" w:rsidRDefault="00FD0ED8" w:rsidP="00FD0ED8">
            <w:pPr>
              <w:pStyle w:val="ListParagraph"/>
              <w:numPr>
                <w:ilvl w:val="0"/>
                <w:numId w:val="42"/>
              </w:numPr>
              <w:spacing w:after="0" w:line="240" w:lineRule="auto"/>
            </w:pPr>
            <w:r>
              <w:t>A copy of the completed 2018/19 Notice of Public Rights and Publication of the Unaudited Annual Governance and Accountability Review</w:t>
            </w:r>
            <w:r>
              <w:br/>
            </w:r>
          </w:p>
          <w:p w14:paraId="426A46A4" w14:textId="77777777" w:rsidR="00FD0ED8" w:rsidRDefault="00FD0ED8" w:rsidP="00FD0ED8">
            <w:pPr>
              <w:pStyle w:val="ListParagraph"/>
              <w:numPr>
                <w:ilvl w:val="0"/>
                <w:numId w:val="42"/>
              </w:numPr>
              <w:spacing w:after="0" w:line="240" w:lineRule="auto"/>
            </w:pPr>
            <w:r>
              <w:t>A dated photograph showing the first day of the Notice of Public Rights on the noticeboard and/or a dated computer screenshot showing the first date of the Notice of Public Rights on the website for 2018/19</w:t>
            </w:r>
          </w:p>
          <w:p w14:paraId="0224E576" w14:textId="77777777" w:rsidR="00FD0ED8" w:rsidRDefault="00FD0ED8" w:rsidP="00FD0ED8">
            <w:pPr>
              <w:pStyle w:val="ListParagraph"/>
              <w:spacing w:after="0" w:line="240" w:lineRule="auto"/>
            </w:pPr>
          </w:p>
          <w:p w14:paraId="5C839836" w14:textId="77777777" w:rsidR="00FD0ED8" w:rsidRDefault="00FD0ED8" w:rsidP="00FD0ED8">
            <w:pPr>
              <w:spacing w:after="0" w:line="240" w:lineRule="auto"/>
            </w:pPr>
            <w:r>
              <w:t>Our approach to this new requirement will be to conclude NO if we have not received the above evidence and explain on the AGAR that we received insufficient evidence to be able to conclude YES; we would also conclude NO if the dates advertised were not compliant with the Regulations.</w:t>
            </w:r>
          </w:p>
          <w:p w14:paraId="3F73403D" w14:textId="77777777" w:rsidR="00FD0ED8" w:rsidRDefault="00FD0ED8" w:rsidP="00FD0ED8">
            <w:pPr>
              <w:spacing w:after="0" w:line="240" w:lineRule="auto"/>
            </w:pPr>
          </w:p>
          <w:p w14:paraId="43742EDD" w14:textId="77777777" w:rsidR="00FD0ED8" w:rsidRDefault="00FD0ED8" w:rsidP="00FD0ED8">
            <w:pPr>
              <w:spacing w:after="0" w:line="240" w:lineRule="auto"/>
            </w:pPr>
            <w:r>
              <w:t>This will be a new ongoing requirement for internal audit, as well as verifying whether certain smaller councils meet the exemption criteria from an external audit. Therefore, for the 2019/20 internal audits there will be additional time charged at a fixed fee of £9 + VAT per local council to complete the new requirements.</w:t>
            </w:r>
          </w:p>
          <w:p w14:paraId="37E32896" w14:textId="5156825E"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p>
        </w:tc>
      </w:tr>
      <w:tr w:rsidR="00FD0ED8" w:rsidRPr="0093463B" w14:paraId="7772F8C2" w14:textId="77777777" w:rsidTr="008F6DEA">
        <w:tc>
          <w:tcPr>
            <w:tcW w:w="13761" w:type="dxa"/>
            <w:gridSpan w:val="4"/>
            <w:tcBorders>
              <w:top w:val="single" w:sz="6" w:space="0" w:color="auto"/>
              <w:left w:val="single" w:sz="6" w:space="0" w:color="auto"/>
              <w:bottom w:val="single" w:sz="6" w:space="0" w:color="auto"/>
              <w:right w:val="single" w:sz="6" w:space="0" w:color="auto"/>
            </w:tcBorders>
          </w:tcPr>
          <w:p w14:paraId="59C404FB" w14:textId="77777777" w:rsidR="00FD0ED8" w:rsidRDefault="00FD0ED8" w:rsidP="00FD0ED8">
            <w:pPr>
              <w:spacing w:after="0" w:line="240" w:lineRule="auto"/>
              <w:rPr>
                <w:rFonts w:ascii="Times New Roman" w:eastAsia="Times New Roman" w:hAnsi="Times New Roman" w:cs="Times New Roman"/>
                <w:b/>
                <w:snapToGrid w:val="0"/>
                <w:sz w:val="24"/>
                <w:szCs w:val="20"/>
                <w:lang w:val="en-US"/>
              </w:rPr>
            </w:pPr>
          </w:p>
          <w:p w14:paraId="118A3BE5" w14:textId="77777777" w:rsidR="00FD0ED8"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2017/18 internal audit</w:t>
            </w:r>
          </w:p>
          <w:p w14:paraId="2D2ECCC9" w14:textId="274B5F0D"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p>
        </w:tc>
      </w:tr>
      <w:tr w:rsidR="00FD0ED8" w:rsidRPr="0093463B" w14:paraId="284A6152" w14:textId="77777777" w:rsidTr="00D83B92">
        <w:tc>
          <w:tcPr>
            <w:tcW w:w="568" w:type="dxa"/>
            <w:tcBorders>
              <w:top w:val="single" w:sz="6" w:space="0" w:color="auto"/>
              <w:left w:val="single" w:sz="6" w:space="0" w:color="auto"/>
              <w:bottom w:val="single" w:sz="6" w:space="0" w:color="auto"/>
              <w:right w:val="single" w:sz="6" w:space="0" w:color="auto"/>
            </w:tcBorders>
          </w:tcPr>
          <w:p w14:paraId="55575628" w14:textId="77777777"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r w:rsidRPr="0093463B">
              <w:rPr>
                <w:rFonts w:ascii="Times New Roman" w:eastAsia="Times New Roman" w:hAnsi="Times New Roman" w:cs="Times New Roman"/>
                <w:snapToGrid w:val="0"/>
                <w:sz w:val="24"/>
                <w:szCs w:val="20"/>
                <w:lang w:val="en-US"/>
              </w:rPr>
              <w:t>1</w:t>
            </w:r>
          </w:p>
        </w:tc>
        <w:tc>
          <w:tcPr>
            <w:tcW w:w="4396" w:type="dxa"/>
            <w:tcBorders>
              <w:top w:val="single" w:sz="4" w:space="0" w:color="auto"/>
              <w:left w:val="single" w:sz="6" w:space="0" w:color="auto"/>
              <w:bottom w:val="single" w:sz="6" w:space="0" w:color="auto"/>
              <w:right w:val="single" w:sz="4" w:space="0" w:color="auto"/>
            </w:tcBorders>
          </w:tcPr>
          <w:p w14:paraId="129110E7" w14:textId="77777777"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3463B">
              <w:rPr>
                <w:rFonts w:ascii="Times New Roman" w:eastAsia="Times New Roman" w:hAnsi="Times New Roman" w:cs="Times New Roman"/>
                <w:sz w:val="24"/>
                <w:szCs w:val="24"/>
                <w:lang w:val="en-US"/>
              </w:rPr>
              <w:t>No risk assessment was carried out during the year and reviewed and approved by council</w:t>
            </w:r>
          </w:p>
          <w:p w14:paraId="6242359F" w14:textId="77777777"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top w:val="single" w:sz="4" w:space="0" w:color="auto"/>
              <w:left w:val="single" w:sz="4" w:space="0" w:color="auto"/>
              <w:bottom w:val="single" w:sz="6" w:space="0" w:color="auto"/>
              <w:right w:val="single" w:sz="6" w:space="0" w:color="auto"/>
            </w:tcBorders>
          </w:tcPr>
          <w:p w14:paraId="3F4935A4" w14:textId="440BF809"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 xml:space="preserve">The </w:t>
            </w:r>
            <w:r w:rsidRPr="0093463B">
              <w:rPr>
                <w:rFonts w:ascii="Times New Roman" w:eastAsia="Times New Roman" w:hAnsi="Times New Roman" w:cs="Times New Roman"/>
                <w:i/>
                <w:snapToGrid w:val="0"/>
                <w:sz w:val="24"/>
                <w:szCs w:val="24"/>
                <w:lang w:val="en-US"/>
              </w:rPr>
              <w:t xml:space="preserve">Risk </w:t>
            </w:r>
            <w:r>
              <w:rPr>
                <w:rFonts w:ascii="Times New Roman" w:eastAsia="Times New Roman" w:hAnsi="Times New Roman" w:cs="Times New Roman"/>
                <w:i/>
                <w:snapToGrid w:val="0"/>
                <w:sz w:val="24"/>
                <w:szCs w:val="24"/>
                <w:lang w:val="en-US"/>
              </w:rPr>
              <w:t>A</w:t>
            </w:r>
            <w:r w:rsidRPr="0093463B">
              <w:rPr>
                <w:rFonts w:ascii="Times New Roman" w:eastAsia="Times New Roman" w:hAnsi="Times New Roman" w:cs="Times New Roman"/>
                <w:i/>
                <w:snapToGrid w:val="0"/>
                <w:sz w:val="24"/>
                <w:szCs w:val="24"/>
                <w:lang w:val="en-US"/>
              </w:rPr>
              <w:t>ssessment should be reviewed, updated and approved each financial year. Good practice examples have been provided to the acting RFO</w:t>
            </w:r>
            <w:r>
              <w:rPr>
                <w:rFonts w:ascii="Times New Roman" w:eastAsia="Times New Roman" w:hAnsi="Times New Roman" w:cs="Times New Roman"/>
                <w:i/>
                <w:snapToGrid w:val="0"/>
                <w:sz w:val="24"/>
                <w:szCs w:val="24"/>
                <w:lang w:val="en-US"/>
              </w:rPr>
              <w:t>.</w:t>
            </w:r>
          </w:p>
          <w:p w14:paraId="65A3982E" w14:textId="5011F786"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5C51AF36"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21100E73" w14:textId="1D78D327" w:rsidR="00FD0ED8" w:rsidRPr="0093463B" w:rsidRDefault="00FD0ED8" w:rsidP="00FD0ED8">
            <w:pPr>
              <w:spacing w:after="0" w:line="240" w:lineRule="auto"/>
              <w:rPr>
                <w:rFonts w:ascii="Times New Roman" w:eastAsia="Times New Roman" w:hAnsi="Times New Roman" w:cs="Times New Roman"/>
                <w:i/>
                <w:snapToGrid w:val="0"/>
                <w:sz w:val="24"/>
                <w:szCs w:val="24"/>
                <w:lang w:val="en-US"/>
              </w:rPr>
            </w:pPr>
          </w:p>
        </w:tc>
        <w:tc>
          <w:tcPr>
            <w:tcW w:w="4399" w:type="dxa"/>
            <w:tcBorders>
              <w:top w:val="single" w:sz="6" w:space="0" w:color="auto"/>
              <w:left w:val="single" w:sz="6" w:space="0" w:color="auto"/>
              <w:bottom w:val="single" w:sz="6" w:space="0" w:color="auto"/>
              <w:right w:val="single" w:sz="6" w:space="0" w:color="auto"/>
            </w:tcBorders>
          </w:tcPr>
          <w:p w14:paraId="000704A8" w14:textId="6442C474"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Implemented</w:t>
            </w:r>
          </w:p>
        </w:tc>
      </w:tr>
      <w:tr w:rsidR="00FD0ED8" w:rsidRPr="0093463B" w14:paraId="47494CE5" w14:textId="77777777" w:rsidTr="00D83B92">
        <w:tc>
          <w:tcPr>
            <w:tcW w:w="568" w:type="dxa"/>
            <w:tcBorders>
              <w:top w:val="single" w:sz="6" w:space="0" w:color="auto"/>
              <w:left w:val="single" w:sz="6" w:space="0" w:color="auto"/>
              <w:bottom w:val="single" w:sz="6" w:space="0" w:color="auto"/>
              <w:right w:val="single" w:sz="6" w:space="0" w:color="auto"/>
            </w:tcBorders>
          </w:tcPr>
          <w:p w14:paraId="48845AC9" w14:textId="77777777"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r w:rsidRPr="0093463B">
              <w:rPr>
                <w:rFonts w:ascii="Times New Roman" w:eastAsia="Times New Roman" w:hAnsi="Times New Roman" w:cs="Times New Roman"/>
                <w:snapToGrid w:val="0"/>
                <w:sz w:val="24"/>
                <w:szCs w:val="20"/>
                <w:lang w:val="en-US"/>
              </w:rPr>
              <w:t>2</w:t>
            </w:r>
          </w:p>
        </w:tc>
        <w:tc>
          <w:tcPr>
            <w:tcW w:w="4396" w:type="dxa"/>
            <w:tcBorders>
              <w:top w:val="single" w:sz="4" w:space="0" w:color="auto"/>
              <w:left w:val="single" w:sz="6" w:space="0" w:color="auto"/>
              <w:bottom w:val="single" w:sz="6" w:space="0" w:color="auto"/>
              <w:right w:val="single" w:sz="4" w:space="0" w:color="auto"/>
            </w:tcBorders>
          </w:tcPr>
          <w:p w14:paraId="189BA9E3" w14:textId="5B8A22DD"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Reserves</w:t>
            </w:r>
          </w:p>
          <w:p w14:paraId="26D12D47" w14:textId="77777777"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5D49F605" w14:textId="576B3CA5"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Reserves are 175% of the precept level. S</w:t>
            </w:r>
            <w:r w:rsidRPr="0093463B">
              <w:rPr>
                <w:rFonts w:ascii="Times New Roman" w:eastAsia="Times New Roman" w:hAnsi="Times New Roman" w:cs="Times New Roman"/>
                <w:sz w:val="24"/>
                <w:szCs w:val="24"/>
                <w:lang w:val="en-US"/>
              </w:rPr>
              <w:t>ector guidance is that the general reserves of the council</w:t>
            </w:r>
            <w:r>
              <w:rPr>
                <w:rFonts w:ascii="Times New Roman" w:eastAsia="Times New Roman" w:hAnsi="Times New Roman" w:cs="Times New Roman"/>
                <w:sz w:val="24"/>
                <w:szCs w:val="24"/>
                <w:lang w:val="en-US"/>
              </w:rPr>
              <w:t>, which represent the contingency for unforeseen events,</w:t>
            </w:r>
            <w:r w:rsidRPr="0093463B">
              <w:rPr>
                <w:rFonts w:ascii="Times New Roman" w:eastAsia="Times New Roman" w:hAnsi="Times New Roman" w:cs="Times New Roman"/>
                <w:sz w:val="24"/>
                <w:szCs w:val="24"/>
                <w:lang w:val="en-US"/>
              </w:rPr>
              <w:t xml:space="preserve"> should be between 25% and 100% of the annual precept.</w:t>
            </w:r>
          </w:p>
          <w:p w14:paraId="5BE0BE23"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4DCCAD0D" w14:textId="77E18893"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Although reserve levels were mentioned in a precept discussion, no</w:t>
            </w:r>
            <w:r w:rsidRPr="0093463B">
              <w:rPr>
                <w:rFonts w:ascii="Times New Roman" w:eastAsia="Times New Roman" w:hAnsi="Times New Roman" w:cs="Times New Roman"/>
                <w:sz w:val="24"/>
                <w:szCs w:val="24"/>
                <w:lang w:val="en-US"/>
              </w:rPr>
              <w:t xml:space="preserve"> account </w:t>
            </w:r>
            <w:r>
              <w:rPr>
                <w:rFonts w:ascii="Times New Roman" w:eastAsia="Times New Roman" w:hAnsi="Times New Roman" w:cs="Times New Roman"/>
                <w:sz w:val="24"/>
                <w:szCs w:val="24"/>
                <w:lang w:val="en-US"/>
              </w:rPr>
              <w:t>appears to have been</w:t>
            </w:r>
            <w:r w:rsidRPr="0093463B">
              <w:rPr>
                <w:rFonts w:ascii="Times New Roman" w:eastAsia="Times New Roman" w:hAnsi="Times New Roman" w:cs="Times New Roman"/>
                <w:sz w:val="24"/>
                <w:szCs w:val="24"/>
                <w:lang w:val="en-US"/>
              </w:rPr>
              <w:t xml:space="preserve"> taken of </w:t>
            </w:r>
            <w:r>
              <w:rPr>
                <w:rFonts w:ascii="Times New Roman" w:eastAsia="Times New Roman" w:hAnsi="Times New Roman" w:cs="Times New Roman"/>
                <w:sz w:val="24"/>
                <w:szCs w:val="24"/>
                <w:lang w:val="en-US"/>
              </w:rPr>
              <w:t xml:space="preserve">the </w:t>
            </w:r>
            <w:r w:rsidRPr="0093463B">
              <w:rPr>
                <w:rFonts w:ascii="Times New Roman" w:eastAsia="Times New Roman" w:hAnsi="Times New Roman" w:cs="Times New Roman"/>
                <w:sz w:val="24"/>
                <w:szCs w:val="24"/>
                <w:lang w:val="en-US"/>
              </w:rPr>
              <w:t xml:space="preserve">opening and closing balances </w:t>
            </w:r>
            <w:r>
              <w:rPr>
                <w:rFonts w:ascii="Times New Roman" w:eastAsia="Times New Roman" w:hAnsi="Times New Roman" w:cs="Times New Roman"/>
                <w:sz w:val="24"/>
                <w:szCs w:val="24"/>
                <w:lang w:val="en-US"/>
              </w:rPr>
              <w:t xml:space="preserve">of the Council </w:t>
            </w:r>
            <w:r w:rsidRPr="0093463B">
              <w:rPr>
                <w:rFonts w:ascii="Times New Roman" w:eastAsia="Times New Roman" w:hAnsi="Times New Roman" w:cs="Times New Roman"/>
                <w:sz w:val="24"/>
                <w:szCs w:val="24"/>
                <w:lang w:val="en-US"/>
              </w:rPr>
              <w:t xml:space="preserve">as part of the </w:t>
            </w:r>
            <w:r>
              <w:rPr>
                <w:rFonts w:ascii="Times New Roman" w:eastAsia="Times New Roman" w:hAnsi="Times New Roman" w:cs="Times New Roman"/>
                <w:sz w:val="24"/>
                <w:szCs w:val="24"/>
                <w:lang w:val="en-US"/>
              </w:rPr>
              <w:t xml:space="preserve">actual </w:t>
            </w:r>
            <w:r w:rsidRPr="0093463B">
              <w:rPr>
                <w:rFonts w:ascii="Times New Roman" w:eastAsia="Times New Roman" w:hAnsi="Times New Roman" w:cs="Times New Roman"/>
                <w:sz w:val="24"/>
                <w:szCs w:val="24"/>
                <w:lang w:val="en-US"/>
              </w:rPr>
              <w:t xml:space="preserve">precept setting process. There are no disclosed earmarked reserves </w:t>
            </w:r>
            <w:r>
              <w:rPr>
                <w:rFonts w:ascii="Times New Roman" w:eastAsia="Times New Roman" w:hAnsi="Times New Roman" w:cs="Times New Roman"/>
                <w:sz w:val="24"/>
                <w:szCs w:val="24"/>
                <w:lang w:val="en-US"/>
              </w:rPr>
              <w:t>in the year end accounts.</w:t>
            </w:r>
          </w:p>
          <w:p w14:paraId="41C2BF08" w14:textId="769BB070"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top w:val="single" w:sz="4" w:space="0" w:color="auto"/>
              <w:left w:val="single" w:sz="4" w:space="0" w:color="auto"/>
              <w:bottom w:val="single" w:sz="6" w:space="0" w:color="auto"/>
              <w:right w:val="single" w:sz="6" w:space="0" w:color="auto"/>
            </w:tcBorders>
          </w:tcPr>
          <w:p w14:paraId="35A94EEF" w14:textId="48025C1C"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 xml:space="preserve">Currently the level of general reserves could be deemed excessive by reference to sector guidance for adequate levels of general reserves. </w:t>
            </w:r>
          </w:p>
          <w:p w14:paraId="03C01789"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395BA7DE" w14:textId="44492F6A"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If the council has identified projects and community schemes for which it wishes to earmark a portion of reserves these should be clearly disclosed in the year end accounts as earmarked reserves, and this could also then reduce remaining general reserves to more reasonable levels.</w:t>
            </w:r>
          </w:p>
          <w:p w14:paraId="1BD29D69"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5C661DD3"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0"/>
                <w:lang w:val="en-US"/>
              </w:rPr>
            </w:pPr>
            <w:r>
              <w:rPr>
                <w:rFonts w:ascii="Times New Roman" w:eastAsia="Times New Roman" w:hAnsi="Times New Roman" w:cs="Times New Roman"/>
                <w:i/>
                <w:iCs/>
                <w:sz w:val="24"/>
                <w:szCs w:val="20"/>
                <w:lang w:val="en-US"/>
              </w:rPr>
              <w:t>The council should ensure when setting the precept that the budget requirement is calculated in accordance with the Local Government Finance Act 1992 by taking into account:</w:t>
            </w:r>
          </w:p>
          <w:p w14:paraId="54931E7D"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0"/>
                <w:lang w:val="en-US"/>
              </w:rPr>
            </w:pPr>
          </w:p>
          <w:p w14:paraId="2B057E66" w14:textId="77777777" w:rsidR="00FD0ED8" w:rsidRDefault="00FD0ED8" w:rsidP="00FD0ED8">
            <w:pPr>
              <w:pStyle w:val="ListParagraph"/>
              <w:numPr>
                <w:ilvl w:val="0"/>
                <w:numId w:val="41"/>
              </w:num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0"/>
                <w:lang w:val="en-US"/>
              </w:rPr>
            </w:pPr>
            <w:r>
              <w:rPr>
                <w:rFonts w:ascii="Times New Roman" w:eastAsia="Times New Roman" w:hAnsi="Times New Roman" w:cs="Times New Roman"/>
                <w:i/>
                <w:iCs/>
                <w:sz w:val="24"/>
                <w:szCs w:val="20"/>
                <w:lang w:val="en-US"/>
              </w:rPr>
              <w:t>all expenditure estimated to be incurred in the year</w:t>
            </w:r>
          </w:p>
          <w:p w14:paraId="0CCED27E" w14:textId="2D55DAD8" w:rsidR="00FD0ED8" w:rsidRDefault="00FD0ED8" w:rsidP="00FD0ED8">
            <w:pPr>
              <w:pStyle w:val="ListParagraph"/>
              <w:numPr>
                <w:ilvl w:val="0"/>
                <w:numId w:val="41"/>
              </w:num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0"/>
                <w:lang w:val="en-US"/>
              </w:rPr>
            </w:pPr>
            <w:r>
              <w:rPr>
                <w:rFonts w:ascii="Times New Roman" w:eastAsia="Times New Roman" w:hAnsi="Times New Roman" w:cs="Times New Roman"/>
                <w:i/>
                <w:iCs/>
                <w:sz w:val="24"/>
                <w:szCs w:val="20"/>
                <w:lang w:val="en-US"/>
              </w:rPr>
              <w:t>an allowance for unforeseen expenditure – this could be linked to a variation in inflation expectations</w:t>
            </w:r>
          </w:p>
          <w:p w14:paraId="756DF187" w14:textId="77777777" w:rsidR="00FD0ED8" w:rsidRDefault="00FD0ED8" w:rsidP="00FD0ED8">
            <w:pPr>
              <w:pStyle w:val="ListParagraph"/>
              <w:numPr>
                <w:ilvl w:val="0"/>
                <w:numId w:val="41"/>
              </w:num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0"/>
                <w:lang w:val="en-US"/>
              </w:rPr>
            </w:pPr>
            <w:r>
              <w:rPr>
                <w:rFonts w:ascii="Times New Roman" w:eastAsia="Times New Roman" w:hAnsi="Times New Roman" w:cs="Times New Roman"/>
                <w:i/>
                <w:iCs/>
                <w:sz w:val="24"/>
                <w:szCs w:val="20"/>
                <w:lang w:val="en-US"/>
              </w:rPr>
              <w:t>an amount that the council estimates will be appropriate to meet future estimated expenditure (</w:t>
            </w:r>
            <w:proofErr w:type="spellStart"/>
            <w:r>
              <w:rPr>
                <w:rFonts w:ascii="Times New Roman" w:eastAsia="Times New Roman" w:hAnsi="Times New Roman" w:cs="Times New Roman"/>
                <w:i/>
                <w:iCs/>
                <w:sz w:val="24"/>
                <w:szCs w:val="20"/>
                <w:lang w:val="en-US"/>
              </w:rPr>
              <w:t>ie</w:t>
            </w:r>
            <w:proofErr w:type="spellEnd"/>
            <w:r>
              <w:rPr>
                <w:rFonts w:ascii="Times New Roman" w:eastAsia="Times New Roman" w:hAnsi="Times New Roman" w:cs="Times New Roman"/>
                <w:i/>
                <w:iCs/>
                <w:sz w:val="24"/>
                <w:szCs w:val="20"/>
                <w:lang w:val="en-US"/>
              </w:rPr>
              <w:t xml:space="preserve"> to hold in reserves or to replenish general reserves in accordance with a reserves policy)</w:t>
            </w:r>
          </w:p>
          <w:p w14:paraId="15D7CC5F" w14:textId="77777777" w:rsidR="00FD0ED8" w:rsidRDefault="00FD0ED8" w:rsidP="00FD0ED8">
            <w:pPr>
              <w:pStyle w:val="ListParagraph"/>
              <w:numPr>
                <w:ilvl w:val="0"/>
                <w:numId w:val="41"/>
              </w:num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0"/>
                <w:lang w:val="en-US"/>
              </w:rPr>
            </w:pPr>
            <w:r>
              <w:rPr>
                <w:rFonts w:ascii="Times New Roman" w:eastAsia="Times New Roman" w:hAnsi="Times New Roman" w:cs="Times New Roman"/>
                <w:i/>
                <w:iCs/>
                <w:sz w:val="24"/>
                <w:szCs w:val="20"/>
                <w:lang w:val="en-US"/>
              </w:rPr>
              <w:t>the amount estimated by the council to meet expenditure relating to previous financial years that has not already been provided for (creditors and accruals and other liabilities)</w:t>
            </w:r>
          </w:p>
          <w:p w14:paraId="20891576"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67275F42" w14:textId="12354447" w:rsidR="00FD0ED8" w:rsidRPr="0093463B" w:rsidRDefault="00FD0ED8" w:rsidP="00FD0ED8">
            <w:pPr>
              <w:spacing w:after="0" w:line="240" w:lineRule="auto"/>
              <w:rPr>
                <w:rFonts w:ascii="Times New Roman" w:eastAsia="Times New Roman" w:hAnsi="Times New Roman" w:cs="Times New Roman"/>
                <w:i/>
                <w:snapToGrid w:val="0"/>
                <w:sz w:val="24"/>
                <w:szCs w:val="24"/>
                <w:lang w:val="en-US"/>
              </w:rPr>
            </w:pPr>
          </w:p>
        </w:tc>
        <w:tc>
          <w:tcPr>
            <w:tcW w:w="4399" w:type="dxa"/>
            <w:tcBorders>
              <w:top w:val="single" w:sz="6" w:space="0" w:color="auto"/>
              <w:left w:val="single" w:sz="6" w:space="0" w:color="auto"/>
              <w:bottom w:val="single" w:sz="6" w:space="0" w:color="auto"/>
              <w:right w:val="single" w:sz="6" w:space="0" w:color="auto"/>
            </w:tcBorders>
          </w:tcPr>
          <w:p w14:paraId="6C7E6082" w14:textId="125C893B"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2018/19 follow up – all surplus funds are committed to the car parking project</w:t>
            </w:r>
          </w:p>
        </w:tc>
      </w:tr>
      <w:tr w:rsidR="00FD0ED8" w:rsidRPr="0093463B" w14:paraId="3FAB0032" w14:textId="77777777" w:rsidTr="00D83B92">
        <w:tc>
          <w:tcPr>
            <w:tcW w:w="568" w:type="dxa"/>
            <w:tcBorders>
              <w:top w:val="single" w:sz="6" w:space="0" w:color="auto"/>
              <w:left w:val="single" w:sz="6" w:space="0" w:color="auto"/>
              <w:bottom w:val="single" w:sz="6" w:space="0" w:color="auto"/>
              <w:right w:val="single" w:sz="6" w:space="0" w:color="auto"/>
            </w:tcBorders>
          </w:tcPr>
          <w:p w14:paraId="6217B5CC" w14:textId="77777777"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r w:rsidRPr="0093463B">
              <w:rPr>
                <w:rFonts w:ascii="Times New Roman" w:eastAsia="Times New Roman" w:hAnsi="Times New Roman" w:cs="Times New Roman"/>
                <w:snapToGrid w:val="0"/>
                <w:sz w:val="24"/>
                <w:szCs w:val="20"/>
                <w:lang w:val="en-US"/>
              </w:rPr>
              <w:t>3</w:t>
            </w:r>
          </w:p>
        </w:tc>
        <w:tc>
          <w:tcPr>
            <w:tcW w:w="4396" w:type="dxa"/>
            <w:tcBorders>
              <w:top w:val="single" w:sz="4" w:space="0" w:color="auto"/>
              <w:left w:val="single" w:sz="6" w:space="0" w:color="auto"/>
              <w:bottom w:val="single" w:sz="6" w:space="0" w:color="auto"/>
              <w:right w:val="single" w:sz="4" w:space="0" w:color="auto"/>
            </w:tcBorders>
          </w:tcPr>
          <w:p w14:paraId="2A8DA460"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3463B">
              <w:rPr>
                <w:rFonts w:ascii="Times New Roman" w:eastAsia="Times New Roman" w:hAnsi="Times New Roman" w:cs="Times New Roman"/>
                <w:sz w:val="24"/>
                <w:szCs w:val="24"/>
                <w:lang w:val="en-US"/>
              </w:rPr>
              <w:t>The Financial Regulations are dated 2007 and the Standing Orders are dated 2008.</w:t>
            </w:r>
          </w:p>
          <w:p w14:paraId="54E2FDCD"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654AAB06" w14:textId="3EA77F61"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Online banking has been implemented but the Financial Regulations have not been updated to provide regulations covering online banking.</w:t>
            </w:r>
          </w:p>
          <w:p w14:paraId="39CCCD90"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388D2C53" w14:textId="29554054"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procurement requirements of the current Financial Regulations (FRs) are not clear. Formal tenders are required if a contract is above £30000. There are no procurement requirements stipulated if  a contract or supply is between £1000 and £30000 (</w:t>
            </w:r>
            <w:proofErr w:type="spellStart"/>
            <w:r>
              <w:rPr>
                <w:rFonts w:ascii="Times New Roman" w:eastAsia="Times New Roman" w:hAnsi="Times New Roman" w:cs="Times New Roman"/>
                <w:sz w:val="24"/>
                <w:szCs w:val="24"/>
                <w:lang w:val="en-US"/>
              </w:rPr>
              <w:t>eg</w:t>
            </w:r>
            <w:proofErr w:type="spellEnd"/>
            <w:r>
              <w:rPr>
                <w:rFonts w:ascii="Times New Roman" w:eastAsia="Times New Roman" w:hAnsi="Times New Roman" w:cs="Times New Roman"/>
                <w:sz w:val="24"/>
                <w:szCs w:val="24"/>
                <w:lang w:val="en-US"/>
              </w:rPr>
              <w:t xml:space="preserve"> the clerk should secure 3 quotes). The FRs also state that if less than 3 tenders are received for contracts above £2000 then the council can procure as they see fit, but this £2000 threshold is inconsistent with the £30000 tender threshold. It would be difficult for an RFO to apply these inconsistent procurement regulations.</w:t>
            </w:r>
          </w:p>
          <w:p w14:paraId="460D6656"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42A62D53" w14:textId="0FC2A052"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top w:val="single" w:sz="4" w:space="0" w:color="auto"/>
              <w:left w:val="single" w:sz="4" w:space="0" w:color="auto"/>
              <w:bottom w:val="single" w:sz="6" w:space="0" w:color="auto"/>
              <w:right w:val="single" w:sz="6" w:space="0" w:color="auto"/>
            </w:tcBorders>
          </w:tcPr>
          <w:p w14:paraId="7C25974D" w14:textId="32520626" w:rsidR="00FD0ED8" w:rsidRPr="0093463B" w:rsidRDefault="00FD0ED8" w:rsidP="00FD0ED8">
            <w:pPr>
              <w:spacing w:after="0" w:line="240" w:lineRule="auto"/>
              <w:rPr>
                <w:rFonts w:ascii="Times New Roman" w:eastAsia="Times New Roman" w:hAnsi="Times New Roman" w:cs="Times New Roman"/>
                <w:i/>
                <w:snapToGrid w:val="0"/>
                <w:sz w:val="24"/>
                <w:szCs w:val="24"/>
                <w:lang w:val="en-US"/>
              </w:rPr>
            </w:pPr>
            <w:r w:rsidRPr="0093463B">
              <w:rPr>
                <w:rFonts w:ascii="Times New Roman" w:eastAsia="Times New Roman" w:hAnsi="Times New Roman" w:cs="Times New Roman"/>
                <w:i/>
                <w:snapToGrid w:val="0"/>
                <w:sz w:val="24"/>
                <w:szCs w:val="24"/>
                <w:lang w:val="en-US"/>
              </w:rPr>
              <w:t>The council should update the Financial Regulations by comparing with the current NALC model Financial Regulations and updating accordingly</w:t>
            </w:r>
            <w:r>
              <w:rPr>
                <w:rFonts w:ascii="Times New Roman" w:eastAsia="Times New Roman" w:hAnsi="Times New Roman" w:cs="Times New Roman"/>
                <w:i/>
                <w:snapToGrid w:val="0"/>
                <w:sz w:val="24"/>
                <w:szCs w:val="24"/>
                <w:lang w:val="en-US"/>
              </w:rPr>
              <w:t>, including appropriate regulations for procurement and online banking</w:t>
            </w:r>
          </w:p>
          <w:p w14:paraId="492A501F" w14:textId="77777777" w:rsidR="00FD0ED8" w:rsidRPr="0093463B" w:rsidRDefault="00FD0ED8" w:rsidP="00FD0ED8">
            <w:pPr>
              <w:spacing w:after="0" w:line="240" w:lineRule="auto"/>
              <w:rPr>
                <w:rFonts w:ascii="Times New Roman" w:eastAsia="Times New Roman" w:hAnsi="Times New Roman" w:cs="Times New Roman"/>
                <w:i/>
                <w:snapToGrid w:val="0"/>
                <w:sz w:val="24"/>
                <w:szCs w:val="24"/>
                <w:lang w:val="en-US"/>
              </w:rPr>
            </w:pPr>
          </w:p>
          <w:p w14:paraId="671EBAAB" w14:textId="77777777" w:rsidR="00FD0ED8" w:rsidRPr="0093463B" w:rsidRDefault="00FD0ED8" w:rsidP="00FD0ED8">
            <w:pPr>
              <w:spacing w:after="0" w:line="240" w:lineRule="auto"/>
              <w:rPr>
                <w:rFonts w:ascii="Times New Roman" w:eastAsia="Times New Roman" w:hAnsi="Times New Roman" w:cs="Times New Roman"/>
                <w:i/>
                <w:snapToGrid w:val="0"/>
                <w:sz w:val="24"/>
                <w:szCs w:val="24"/>
                <w:lang w:val="en-US"/>
              </w:rPr>
            </w:pPr>
          </w:p>
        </w:tc>
        <w:tc>
          <w:tcPr>
            <w:tcW w:w="4399" w:type="dxa"/>
            <w:tcBorders>
              <w:top w:val="single" w:sz="6" w:space="0" w:color="auto"/>
              <w:left w:val="single" w:sz="6" w:space="0" w:color="auto"/>
              <w:bottom w:val="single" w:sz="6" w:space="0" w:color="auto"/>
              <w:right w:val="single" w:sz="6" w:space="0" w:color="auto"/>
            </w:tcBorders>
          </w:tcPr>
          <w:p w14:paraId="20EC286F" w14:textId="65075B91"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Implemented, however, see issue 1.) 2018/19.</w:t>
            </w:r>
          </w:p>
          <w:p w14:paraId="1ED7FCE6" w14:textId="77777777"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p>
          <w:p w14:paraId="5F0DBD79" w14:textId="77777777"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p>
          <w:p w14:paraId="2D2AB475" w14:textId="77777777"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p>
          <w:p w14:paraId="5A59BCC0" w14:textId="77777777"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p>
        </w:tc>
      </w:tr>
      <w:tr w:rsidR="00FD0ED8" w:rsidRPr="0093463B" w14:paraId="354EAC4C" w14:textId="77777777" w:rsidTr="00D83B92">
        <w:tc>
          <w:tcPr>
            <w:tcW w:w="568" w:type="dxa"/>
            <w:tcBorders>
              <w:top w:val="single" w:sz="6" w:space="0" w:color="auto"/>
              <w:left w:val="single" w:sz="6" w:space="0" w:color="auto"/>
              <w:bottom w:val="single" w:sz="6" w:space="0" w:color="auto"/>
              <w:right w:val="single" w:sz="6" w:space="0" w:color="auto"/>
            </w:tcBorders>
          </w:tcPr>
          <w:p w14:paraId="1E334DF7" w14:textId="77777777"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r w:rsidRPr="0093463B">
              <w:rPr>
                <w:rFonts w:ascii="Times New Roman" w:eastAsia="Times New Roman" w:hAnsi="Times New Roman" w:cs="Times New Roman"/>
                <w:snapToGrid w:val="0"/>
                <w:sz w:val="24"/>
                <w:szCs w:val="20"/>
                <w:lang w:val="en-US"/>
              </w:rPr>
              <w:t>4</w:t>
            </w:r>
          </w:p>
        </w:tc>
        <w:tc>
          <w:tcPr>
            <w:tcW w:w="4396" w:type="dxa"/>
            <w:tcBorders>
              <w:top w:val="single" w:sz="4" w:space="0" w:color="auto"/>
              <w:left w:val="single" w:sz="6" w:space="0" w:color="auto"/>
              <w:bottom w:val="single" w:sz="6" w:space="0" w:color="auto"/>
              <w:right w:val="single" w:sz="4" w:space="0" w:color="auto"/>
            </w:tcBorders>
          </w:tcPr>
          <w:p w14:paraId="3142C15E" w14:textId="0FC677A0"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minutes indicate that there are VAT issues with respect to previous financial years including unclaimed VAT.</w:t>
            </w:r>
          </w:p>
        </w:tc>
        <w:tc>
          <w:tcPr>
            <w:tcW w:w="4398" w:type="dxa"/>
            <w:tcBorders>
              <w:top w:val="single" w:sz="4" w:space="0" w:color="auto"/>
              <w:left w:val="single" w:sz="4" w:space="0" w:color="auto"/>
              <w:bottom w:val="single" w:sz="6" w:space="0" w:color="auto"/>
              <w:right w:val="single" w:sz="6" w:space="0" w:color="auto"/>
            </w:tcBorders>
          </w:tcPr>
          <w:p w14:paraId="64CFC072" w14:textId="4159FC3D" w:rsidR="00FD0ED8" w:rsidRPr="0093463B"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A reconciliation between the VAT reclaims submitted and the annual cash book VAT should be carried out for the previous financial years where council consider that VAT has been underclaimed. The next VAT reclaim should be adjusted for all prior year items identified and submitted promptly to HMRC.</w:t>
            </w:r>
          </w:p>
          <w:p w14:paraId="1116D312" w14:textId="77777777" w:rsidR="00FD0ED8" w:rsidRPr="0093463B" w:rsidRDefault="00FD0ED8" w:rsidP="00FD0ED8">
            <w:pPr>
              <w:spacing w:after="0" w:line="240" w:lineRule="auto"/>
              <w:rPr>
                <w:rFonts w:ascii="Times New Roman" w:eastAsia="Times New Roman" w:hAnsi="Times New Roman" w:cs="Times New Roman"/>
                <w:i/>
                <w:snapToGrid w:val="0"/>
                <w:sz w:val="24"/>
                <w:szCs w:val="24"/>
                <w:lang w:val="en-US"/>
              </w:rPr>
            </w:pPr>
          </w:p>
          <w:p w14:paraId="33AC2478" w14:textId="77777777" w:rsidR="00FD0ED8" w:rsidRPr="0093463B" w:rsidRDefault="00FD0ED8" w:rsidP="00FD0ED8">
            <w:pPr>
              <w:spacing w:after="0" w:line="240" w:lineRule="auto"/>
              <w:rPr>
                <w:rFonts w:ascii="Times New Roman" w:eastAsia="Times New Roman" w:hAnsi="Times New Roman" w:cs="Times New Roman"/>
                <w:i/>
                <w:snapToGrid w:val="0"/>
                <w:sz w:val="24"/>
                <w:szCs w:val="24"/>
                <w:lang w:val="en-US"/>
              </w:rPr>
            </w:pPr>
          </w:p>
          <w:p w14:paraId="6DFFDBA5" w14:textId="77777777" w:rsidR="00FD0ED8" w:rsidRPr="0093463B" w:rsidRDefault="00FD0ED8" w:rsidP="00FD0ED8">
            <w:pPr>
              <w:spacing w:after="0" w:line="240" w:lineRule="auto"/>
              <w:rPr>
                <w:rFonts w:ascii="Times New Roman" w:eastAsia="Times New Roman" w:hAnsi="Times New Roman" w:cs="Times New Roman"/>
                <w:i/>
                <w:snapToGrid w:val="0"/>
                <w:sz w:val="24"/>
                <w:szCs w:val="24"/>
                <w:lang w:val="en-US"/>
              </w:rPr>
            </w:pPr>
          </w:p>
        </w:tc>
        <w:tc>
          <w:tcPr>
            <w:tcW w:w="4399" w:type="dxa"/>
            <w:tcBorders>
              <w:top w:val="single" w:sz="6" w:space="0" w:color="auto"/>
              <w:left w:val="single" w:sz="6" w:space="0" w:color="auto"/>
              <w:bottom w:val="single" w:sz="6" w:space="0" w:color="auto"/>
              <w:right w:val="single" w:sz="6" w:space="0" w:color="auto"/>
            </w:tcBorders>
          </w:tcPr>
          <w:p w14:paraId="0B9A30CC" w14:textId="320EE674"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Implemented – VAT has been reclaimed up to and including 2017/18</w:t>
            </w:r>
          </w:p>
        </w:tc>
      </w:tr>
      <w:tr w:rsidR="00FD0ED8" w:rsidRPr="0093463B" w14:paraId="74FFD08C" w14:textId="77777777" w:rsidTr="00D83B92">
        <w:tc>
          <w:tcPr>
            <w:tcW w:w="568" w:type="dxa"/>
            <w:tcBorders>
              <w:top w:val="single" w:sz="6" w:space="0" w:color="auto"/>
              <w:left w:val="single" w:sz="6" w:space="0" w:color="auto"/>
              <w:bottom w:val="single" w:sz="6" w:space="0" w:color="auto"/>
              <w:right w:val="single" w:sz="6" w:space="0" w:color="auto"/>
            </w:tcBorders>
          </w:tcPr>
          <w:p w14:paraId="26349D34" w14:textId="77777777"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r w:rsidRPr="0093463B">
              <w:rPr>
                <w:rFonts w:ascii="Times New Roman" w:eastAsia="Times New Roman" w:hAnsi="Times New Roman" w:cs="Times New Roman"/>
                <w:snapToGrid w:val="0"/>
                <w:sz w:val="24"/>
                <w:szCs w:val="20"/>
                <w:lang w:val="en-US"/>
              </w:rPr>
              <w:t>5</w:t>
            </w:r>
          </w:p>
        </w:tc>
        <w:tc>
          <w:tcPr>
            <w:tcW w:w="4396" w:type="dxa"/>
            <w:tcBorders>
              <w:top w:val="single" w:sz="4" w:space="0" w:color="auto"/>
              <w:left w:val="single" w:sz="6" w:space="0" w:color="auto"/>
              <w:bottom w:val="single" w:sz="6" w:space="0" w:color="auto"/>
              <w:right w:val="single" w:sz="4" w:space="0" w:color="auto"/>
            </w:tcBorders>
          </w:tcPr>
          <w:p w14:paraId="608E1E4A" w14:textId="1F921432"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No integrated cash book is maintained by the council that contains all individual receipts and payments transactions. Instead, the current cash book </w:t>
            </w:r>
            <w:r w:rsidRPr="0093463B">
              <w:rPr>
                <w:rFonts w:ascii="Times New Roman" w:eastAsia="Times New Roman" w:hAnsi="Times New Roman" w:cs="Times New Roman"/>
                <w:sz w:val="24"/>
                <w:szCs w:val="24"/>
                <w:lang w:val="en-US"/>
              </w:rPr>
              <w:t>format</w:t>
            </w:r>
            <w:r>
              <w:rPr>
                <w:rFonts w:ascii="Times New Roman" w:eastAsia="Times New Roman" w:hAnsi="Times New Roman" w:cs="Times New Roman"/>
                <w:sz w:val="24"/>
                <w:szCs w:val="24"/>
                <w:lang w:val="en-US"/>
              </w:rPr>
              <w:t xml:space="preserve"> comprises a monthly vertical budget analysis that can only accept one transaction under the budget heading. If there is more than one transaction in a month a supplementary ‘Multiple Transaction Sheet’ is completed. A separate spreadsheet includes totals from these monthly cash and bank sheets for the financial year.</w:t>
            </w:r>
          </w:p>
          <w:p w14:paraId="4B7F9334" w14:textId="472CF033"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top w:val="single" w:sz="4" w:space="0" w:color="auto"/>
              <w:left w:val="single" w:sz="4" w:space="0" w:color="auto"/>
              <w:bottom w:val="single" w:sz="6" w:space="0" w:color="auto"/>
              <w:right w:val="single" w:sz="6" w:space="0" w:color="auto"/>
            </w:tcBorders>
          </w:tcPr>
          <w:p w14:paraId="783F1E62" w14:textId="77CC591D" w:rsidR="00FD0ED8" w:rsidRPr="0093463B"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The current system for completely and accurately recording all receipts and payments transactions of the council is not fit for purpose and should be replaced with an integrated cashbook. This could be adequately be provided by a spreadsheet that records all transactions under extended cash book budget headings for receipts and payments categories.</w:t>
            </w:r>
          </w:p>
        </w:tc>
        <w:tc>
          <w:tcPr>
            <w:tcW w:w="4399" w:type="dxa"/>
            <w:tcBorders>
              <w:top w:val="single" w:sz="6" w:space="0" w:color="auto"/>
              <w:left w:val="single" w:sz="6" w:space="0" w:color="auto"/>
              <w:bottom w:val="single" w:sz="6" w:space="0" w:color="auto"/>
              <w:right w:val="single" w:sz="6" w:space="0" w:color="auto"/>
            </w:tcBorders>
          </w:tcPr>
          <w:p w14:paraId="287D9668" w14:textId="71A9975D"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Implemented – SCRIBE software now used</w:t>
            </w:r>
          </w:p>
        </w:tc>
      </w:tr>
      <w:tr w:rsidR="00FD0ED8" w:rsidRPr="0093463B" w14:paraId="4E789EBA" w14:textId="77777777" w:rsidTr="00D83B92">
        <w:tc>
          <w:tcPr>
            <w:tcW w:w="568" w:type="dxa"/>
            <w:tcBorders>
              <w:top w:val="single" w:sz="6" w:space="0" w:color="auto"/>
              <w:left w:val="single" w:sz="6" w:space="0" w:color="auto"/>
              <w:bottom w:val="single" w:sz="6" w:space="0" w:color="auto"/>
              <w:right w:val="single" w:sz="6" w:space="0" w:color="auto"/>
            </w:tcBorders>
          </w:tcPr>
          <w:p w14:paraId="14F0709D" w14:textId="77777777"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r w:rsidRPr="0093463B">
              <w:rPr>
                <w:rFonts w:ascii="Times New Roman" w:eastAsia="Times New Roman" w:hAnsi="Times New Roman" w:cs="Times New Roman"/>
                <w:snapToGrid w:val="0"/>
                <w:sz w:val="24"/>
                <w:szCs w:val="20"/>
                <w:lang w:val="en-US"/>
              </w:rPr>
              <w:t>6</w:t>
            </w:r>
          </w:p>
        </w:tc>
        <w:tc>
          <w:tcPr>
            <w:tcW w:w="4396" w:type="dxa"/>
            <w:tcBorders>
              <w:right w:val="single" w:sz="4" w:space="0" w:color="auto"/>
            </w:tcBorders>
          </w:tcPr>
          <w:p w14:paraId="671D0449" w14:textId="2DEA805A"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r w:rsidRPr="0093463B">
              <w:rPr>
                <w:rFonts w:ascii="Times New Roman" w:eastAsia="Times New Roman" w:hAnsi="Times New Roman" w:cs="Times New Roman"/>
                <w:snapToGrid w:val="0"/>
                <w:sz w:val="24"/>
                <w:szCs w:val="20"/>
                <w:lang w:val="en-US"/>
              </w:rPr>
              <w:t xml:space="preserve">The level of fidelity insurance cover is £150,000. This insurance should cover the maximum projected cash and bank balances in the financial year. For 2018/19 this level is </w:t>
            </w:r>
            <w:r>
              <w:rPr>
                <w:rFonts w:ascii="Times New Roman" w:eastAsia="Times New Roman" w:hAnsi="Times New Roman" w:cs="Times New Roman"/>
                <w:snapToGrid w:val="0"/>
                <w:sz w:val="24"/>
                <w:szCs w:val="20"/>
                <w:lang w:val="en-US"/>
              </w:rPr>
              <w:t xml:space="preserve">estimated </w:t>
            </w:r>
            <w:r w:rsidRPr="0093463B">
              <w:rPr>
                <w:rFonts w:ascii="Times New Roman" w:eastAsia="Times New Roman" w:hAnsi="Times New Roman" w:cs="Times New Roman"/>
                <w:snapToGrid w:val="0"/>
                <w:sz w:val="24"/>
                <w:szCs w:val="20"/>
                <w:lang w:val="en-US"/>
              </w:rPr>
              <w:t>as year</w:t>
            </w:r>
            <w:r>
              <w:rPr>
                <w:rFonts w:ascii="Times New Roman" w:eastAsia="Times New Roman" w:hAnsi="Times New Roman" w:cs="Times New Roman"/>
                <w:snapToGrid w:val="0"/>
                <w:sz w:val="24"/>
                <w:szCs w:val="20"/>
                <w:lang w:val="en-US"/>
              </w:rPr>
              <w:t>-</w:t>
            </w:r>
            <w:r w:rsidRPr="0093463B">
              <w:rPr>
                <w:rFonts w:ascii="Times New Roman" w:eastAsia="Times New Roman" w:hAnsi="Times New Roman" w:cs="Times New Roman"/>
                <w:snapToGrid w:val="0"/>
                <w:sz w:val="24"/>
                <w:szCs w:val="20"/>
                <w:lang w:val="en-US"/>
              </w:rPr>
              <w:t>end cash and bank balances plus the next precept instalment</w:t>
            </w:r>
            <w:r>
              <w:rPr>
                <w:rFonts w:ascii="Times New Roman" w:eastAsia="Times New Roman" w:hAnsi="Times New Roman" w:cs="Times New Roman"/>
                <w:snapToGrid w:val="0"/>
                <w:sz w:val="24"/>
                <w:szCs w:val="20"/>
                <w:lang w:val="en-US"/>
              </w:rPr>
              <w:t>,</w:t>
            </w:r>
            <w:r w:rsidRPr="0093463B">
              <w:rPr>
                <w:rFonts w:ascii="Times New Roman" w:eastAsia="Times New Roman" w:hAnsi="Times New Roman" w:cs="Times New Roman"/>
                <w:snapToGrid w:val="0"/>
                <w:sz w:val="24"/>
                <w:szCs w:val="20"/>
                <w:lang w:val="en-US"/>
              </w:rPr>
              <w:t xml:space="preserve"> which is in excess of the current level of fidelity insurance cover. </w:t>
            </w:r>
          </w:p>
          <w:p w14:paraId="5F3A48C6" w14:textId="77777777"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p>
          <w:p w14:paraId="5A06AF1E" w14:textId="77777777"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left w:val="single" w:sz="4" w:space="0" w:color="auto"/>
            </w:tcBorders>
          </w:tcPr>
          <w:p w14:paraId="4F03280E" w14:textId="77777777" w:rsidR="00FD0ED8" w:rsidRDefault="00FD0ED8" w:rsidP="00FD0ED8">
            <w:pPr>
              <w:spacing w:after="0" w:line="240" w:lineRule="auto"/>
              <w:rPr>
                <w:rFonts w:ascii="Times New Roman" w:eastAsia="Times New Roman" w:hAnsi="Times New Roman" w:cs="Times New Roman"/>
                <w:i/>
                <w:snapToGrid w:val="0"/>
                <w:sz w:val="24"/>
                <w:szCs w:val="20"/>
                <w:lang w:val="en-US"/>
              </w:rPr>
            </w:pPr>
            <w:r>
              <w:rPr>
                <w:rFonts w:ascii="Times New Roman" w:eastAsia="Times New Roman" w:hAnsi="Times New Roman" w:cs="Times New Roman"/>
                <w:i/>
                <w:snapToGrid w:val="0"/>
                <w:sz w:val="24"/>
                <w:szCs w:val="20"/>
                <w:lang w:val="en-US"/>
              </w:rPr>
              <w:t xml:space="preserve">The council, under s114 of the Local Government Act 1972, must take sufficient security of officers handling money. The council does this by reviewing the level of fidelity cover as part of the annual risk assessment. </w:t>
            </w:r>
          </w:p>
          <w:p w14:paraId="5E41BF9F" w14:textId="77777777" w:rsidR="00FD0ED8" w:rsidRDefault="00FD0ED8" w:rsidP="00FD0ED8">
            <w:pPr>
              <w:spacing w:after="0" w:line="240" w:lineRule="auto"/>
              <w:rPr>
                <w:rFonts w:ascii="Times New Roman" w:eastAsia="Times New Roman" w:hAnsi="Times New Roman" w:cs="Times New Roman"/>
                <w:i/>
                <w:snapToGrid w:val="0"/>
                <w:sz w:val="24"/>
                <w:szCs w:val="20"/>
                <w:lang w:val="en-US"/>
              </w:rPr>
            </w:pPr>
          </w:p>
          <w:p w14:paraId="4D78EDE9" w14:textId="54A8625A" w:rsidR="00FD0ED8" w:rsidRPr="0093463B" w:rsidRDefault="00FD0ED8" w:rsidP="00FD0ED8">
            <w:pPr>
              <w:spacing w:after="0" w:line="240" w:lineRule="auto"/>
              <w:rPr>
                <w:rFonts w:ascii="Times New Roman" w:eastAsia="Times New Roman" w:hAnsi="Times New Roman" w:cs="Times New Roman"/>
                <w:i/>
                <w:snapToGrid w:val="0"/>
                <w:sz w:val="24"/>
                <w:szCs w:val="20"/>
                <w:lang w:val="en-US"/>
              </w:rPr>
            </w:pPr>
            <w:r>
              <w:rPr>
                <w:rFonts w:ascii="Times New Roman" w:eastAsia="Times New Roman" w:hAnsi="Times New Roman" w:cs="Times New Roman"/>
                <w:i/>
                <w:snapToGrid w:val="0"/>
                <w:sz w:val="24"/>
                <w:szCs w:val="20"/>
                <w:lang w:val="en-US"/>
              </w:rPr>
              <w:t xml:space="preserve">The </w:t>
            </w:r>
            <w:r w:rsidRPr="0093463B">
              <w:rPr>
                <w:rFonts w:ascii="Times New Roman" w:eastAsia="Times New Roman" w:hAnsi="Times New Roman" w:cs="Times New Roman"/>
                <w:i/>
                <w:snapToGrid w:val="0"/>
                <w:sz w:val="24"/>
                <w:szCs w:val="20"/>
                <w:lang w:val="en-US"/>
              </w:rPr>
              <w:t>fidelity insurance cover should be increased to adequate levels</w:t>
            </w:r>
            <w:r>
              <w:rPr>
                <w:rFonts w:ascii="Times New Roman" w:eastAsia="Times New Roman" w:hAnsi="Times New Roman" w:cs="Times New Roman"/>
                <w:i/>
                <w:snapToGrid w:val="0"/>
                <w:sz w:val="24"/>
                <w:szCs w:val="20"/>
                <w:lang w:val="en-US"/>
              </w:rPr>
              <w:t xml:space="preserve"> which is generally accepted as the maximum projected cash and bank balances a council can hold at one time in the financial year.</w:t>
            </w:r>
          </w:p>
          <w:p w14:paraId="334BDF95" w14:textId="77777777" w:rsidR="00FD0ED8" w:rsidRPr="0093463B" w:rsidRDefault="00FD0ED8" w:rsidP="00FD0ED8">
            <w:pPr>
              <w:spacing w:after="0" w:line="240" w:lineRule="auto"/>
              <w:rPr>
                <w:rFonts w:ascii="Times New Roman" w:eastAsia="Times New Roman" w:hAnsi="Times New Roman" w:cs="Times New Roman"/>
                <w:i/>
                <w:snapToGrid w:val="0"/>
                <w:sz w:val="24"/>
                <w:szCs w:val="20"/>
                <w:lang w:val="en-US"/>
              </w:rPr>
            </w:pPr>
          </w:p>
          <w:p w14:paraId="00CD2C1A" w14:textId="191B5BF5" w:rsidR="00FD0ED8" w:rsidRDefault="00FD0ED8" w:rsidP="00FD0ED8">
            <w:pPr>
              <w:spacing w:after="0" w:line="240" w:lineRule="auto"/>
              <w:rPr>
                <w:rFonts w:ascii="Times New Roman" w:eastAsia="Times New Roman" w:hAnsi="Times New Roman" w:cs="Times New Roman"/>
                <w:i/>
                <w:snapToGrid w:val="0"/>
                <w:sz w:val="24"/>
                <w:szCs w:val="20"/>
                <w:lang w:val="en-US"/>
              </w:rPr>
            </w:pPr>
            <w:r w:rsidRPr="0093463B">
              <w:rPr>
                <w:rFonts w:ascii="Times New Roman" w:eastAsia="Times New Roman" w:hAnsi="Times New Roman" w:cs="Times New Roman"/>
                <w:i/>
                <w:snapToGrid w:val="0"/>
                <w:sz w:val="24"/>
                <w:szCs w:val="20"/>
                <w:lang w:val="en-US"/>
              </w:rPr>
              <w:t>The adequacy of fidelity insurance cover should be reviewed annually as part of ongoing risk assessment.</w:t>
            </w:r>
          </w:p>
          <w:p w14:paraId="5A21942C" w14:textId="77777777" w:rsidR="00FD0ED8" w:rsidRPr="0093463B" w:rsidRDefault="00FD0ED8" w:rsidP="00FD0ED8">
            <w:pPr>
              <w:spacing w:after="0" w:line="240" w:lineRule="auto"/>
              <w:rPr>
                <w:rFonts w:ascii="Times New Roman" w:eastAsia="Times New Roman" w:hAnsi="Times New Roman" w:cs="Times New Roman"/>
                <w:i/>
                <w:snapToGrid w:val="0"/>
                <w:sz w:val="24"/>
                <w:szCs w:val="24"/>
                <w:lang w:val="en-US"/>
              </w:rPr>
            </w:pPr>
          </w:p>
        </w:tc>
        <w:tc>
          <w:tcPr>
            <w:tcW w:w="4399" w:type="dxa"/>
            <w:tcBorders>
              <w:top w:val="single" w:sz="6" w:space="0" w:color="auto"/>
              <w:left w:val="single" w:sz="6" w:space="0" w:color="auto"/>
              <w:bottom w:val="single" w:sz="6" w:space="0" w:color="auto"/>
              <w:right w:val="single" w:sz="6" w:space="0" w:color="auto"/>
            </w:tcBorders>
          </w:tcPr>
          <w:p w14:paraId="553E34B3" w14:textId="428C7E4B"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Implemented</w:t>
            </w:r>
          </w:p>
        </w:tc>
      </w:tr>
      <w:tr w:rsidR="00FD0ED8" w:rsidRPr="0093463B" w14:paraId="39DC8864" w14:textId="77777777" w:rsidTr="00D83B92">
        <w:tc>
          <w:tcPr>
            <w:tcW w:w="568" w:type="dxa"/>
            <w:tcBorders>
              <w:top w:val="single" w:sz="6" w:space="0" w:color="auto"/>
              <w:left w:val="single" w:sz="6" w:space="0" w:color="auto"/>
              <w:bottom w:val="single" w:sz="6" w:space="0" w:color="auto"/>
              <w:right w:val="single" w:sz="6" w:space="0" w:color="auto"/>
            </w:tcBorders>
          </w:tcPr>
          <w:p w14:paraId="046E2E66" w14:textId="77777777"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r w:rsidRPr="0093463B">
              <w:rPr>
                <w:rFonts w:ascii="Times New Roman" w:eastAsia="Times New Roman" w:hAnsi="Times New Roman" w:cs="Times New Roman"/>
                <w:snapToGrid w:val="0"/>
                <w:sz w:val="24"/>
                <w:szCs w:val="20"/>
                <w:lang w:val="en-US"/>
              </w:rPr>
              <w:t>7</w:t>
            </w:r>
          </w:p>
        </w:tc>
        <w:tc>
          <w:tcPr>
            <w:tcW w:w="4396" w:type="dxa"/>
            <w:tcBorders>
              <w:top w:val="single" w:sz="4" w:space="0" w:color="auto"/>
              <w:left w:val="single" w:sz="6" w:space="0" w:color="auto"/>
              <w:bottom w:val="single" w:sz="6" w:space="0" w:color="auto"/>
              <w:right w:val="single" w:sz="4" w:space="0" w:color="auto"/>
            </w:tcBorders>
          </w:tcPr>
          <w:p w14:paraId="11F6B6F4" w14:textId="4F591D06"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3463B">
              <w:rPr>
                <w:rFonts w:ascii="Times New Roman" w:eastAsia="Times New Roman" w:hAnsi="Times New Roman" w:cs="Times New Roman"/>
                <w:sz w:val="24"/>
                <w:szCs w:val="24"/>
                <w:lang w:val="en-US"/>
              </w:rPr>
              <w:t>Fixed Assets</w:t>
            </w:r>
          </w:p>
          <w:p w14:paraId="28BB43B3" w14:textId="3320FFAC"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13FD3491" w14:textId="3CD1FF03"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Only the year of purchase is often recorded in the asset register for additions, so it is not possible to allocate fixed assets to the financial year they were purchased.</w:t>
            </w:r>
          </w:p>
          <w:p w14:paraId="330CF048" w14:textId="126AB73A"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2303E0F9" w14:textId="794608E5"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Fixed assets are recorded as £108520 in the annual return and asset register. This is an increase of £10187 over the 2016/17 certified fixed asset figure. However, this does not equate to additions to the 2016/17 asset register at purchase price less disposals at carrying value. No reconciliation is provided or </w:t>
            </w:r>
            <w:proofErr w:type="spellStart"/>
            <w:r>
              <w:rPr>
                <w:rFonts w:ascii="Times New Roman" w:eastAsia="Times New Roman" w:hAnsi="Times New Roman" w:cs="Times New Roman"/>
                <w:sz w:val="24"/>
                <w:szCs w:val="24"/>
                <w:lang w:val="en-US"/>
              </w:rPr>
              <w:t>year end</w:t>
            </w:r>
            <w:proofErr w:type="spellEnd"/>
            <w:r>
              <w:rPr>
                <w:rFonts w:ascii="Times New Roman" w:eastAsia="Times New Roman" w:hAnsi="Times New Roman" w:cs="Times New Roman"/>
                <w:sz w:val="24"/>
                <w:szCs w:val="24"/>
                <w:lang w:val="en-US"/>
              </w:rPr>
              <w:t xml:space="preserve"> variance analysis to explain the changes in fixed assets.</w:t>
            </w:r>
          </w:p>
          <w:p w14:paraId="40D57573" w14:textId="623A8B13"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7AF64F56" w14:textId="77777777"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7F5684D3"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58078934" w14:textId="421D7677"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top w:val="single" w:sz="4" w:space="0" w:color="auto"/>
              <w:left w:val="single" w:sz="4" w:space="0" w:color="auto"/>
              <w:bottom w:val="single" w:sz="6" w:space="0" w:color="auto"/>
              <w:right w:val="single" w:sz="6" w:space="0" w:color="auto"/>
            </w:tcBorders>
          </w:tcPr>
          <w:p w14:paraId="14B5C7C5" w14:textId="585BA12E" w:rsidR="00FD0ED8" w:rsidRDefault="00FD0ED8" w:rsidP="00FD0ED8">
            <w:pPr>
              <w:spacing w:after="0" w:line="240" w:lineRule="auto"/>
              <w:rPr>
                <w:rFonts w:ascii="Times New Roman" w:eastAsia="Times New Roman" w:hAnsi="Times New Roman" w:cs="Times New Roman"/>
                <w:i/>
                <w:snapToGrid w:val="0"/>
                <w:sz w:val="24"/>
                <w:szCs w:val="20"/>
                <w:lang w:val="en-US"/>
              </w:rPr>
            </w:pPr>
            <w:r>
              <w:rPr>
                <w:rFonts w:ascii="Times New Roman" w:eastAsia="Times New Roman" w:hAnsi="Times New Roman" w:cs="Times New Roman"/>
                <w:i/>
                <w:snapToGrid w:val="0"/>
                <w:sz w:val="24"/>
                <w:szCs w:val="20"/>
                <w:lang w:val="en-US"/>
              </w:rPr>
              <w:t>The month and year of purchase should be recorded in the asset register.</w:t>
            </w:r>
          </w:p>
          <w:p w14:paraId="2DC74870" w14:textId="77777777" w:rsidR="00FD0ED8" w:rsidRDefault="00FD0ED8" w:rsidP="00FD0ED8">
            <w:pPr>
              <w:spacing w:after="0" w:line="240" w:lineRule="auto"/>
              <w:rPr>
                <w:rFonts w:ascii="Times New Roman" w:eastAsia="Times New Roman" w:hAnsi="Times New Roman" w:cs="Times New Roman"/>
                <w:i/>
                <w:snapToGrid w:val="0"/>
                <w:sz w:val="24"/>
                <w:szCs w:val="20"/>
                <w:lang w:val="en-US"/>
              </w:rPr>
            </w:pPr>
          </w:p>
          <w:p w14:paraId="748E4EA5" w14:textId="72717AA4" w:rsidR="00FD0ED8" w:rsidRPr="006A1B89" w:rsidRDefault="00FD0ED8" w:rsidP="00FD0ED8">
            <w:pPr>
              <w:spacing w:after="0" w:line="240" w:lineRule="auto"/>
              <w:rPr>
                <w:rFonts w:ascii="Times New Roman" w:eastAsia="Times New Roman" w:hAnsi="Times New Roman" w:cs="Times New Roman"/>
                <w:i/>
                <w:snapToGrid w:val="0"/>
                <w:sz w:val="24"/>
                <w:szCs w:val="20"/>
                <w:lang w:val="en-US"/>
              </w:rPr>
            </w:pPr>
            <w:r>
              <w:rPr>
                <w:rFonts w:ascii="Times New Roman" w:eastAsia="Times New Roman" w:hAnsi="Times New Roman" w:cs="Times New Roman"/>
                <w:i/>
                <w:snapToGrid w:val="0"/>
                <w:sz w:val="24"/>
                <w:szCs w:val="20"/>
                <w:lang w:val="en-US"/>
              </w:rPr>
              <w:t>The council should review the 2017/18 fixed asset register with reference to the 2016/17 certified fixed asset figure and ensure the correct figure is disclosed for 2017/18. The</w:t>
            </w:r>
            <w:r w:rsidRPr="006A1B89">
              <w:rPr>
                <w:rFonts w:ascii="Times New Roman" w:eastAsia="Times New Roman" w:hAnsi="Times New Roman" w:cs="Times New Roman"/>
                <w:i/>
                <w:snapToGrid w:val="0"/>
                <w:sz w:val="24"/>
                <w:szCs w:val="20"/>
                <w:lang w:val="en-US"/>
              </w:rPr>
              <w:t xml:space="preserve"> Practitioners’ Guide </w:t>
            </w:r>
            <w:r>
              <w:rPr>
                <w:rFonts w:ascii="Times New Roman" w:eastAsia="Times New Roman" w:hAnsi="Times New Roman" w:cs="Times New Roman"/>
                <w:i/>
                <w:snapToGrid w:val="0"/>
                <w:sz w:val="24"/>
                <w:szCs w:val="20"/>
                <w:lang w:val="en-US"/>
              </w:rPr>
              <w:t>requires</w:t>
            </w:r>
            <w:r w:rsidRPr="006A1B89">
              <w:rPr>
                <w:rFonts w:ascii="Times New Roman" w:eastAsia="Times New Roman" w:hAnsi="Times New Roman" w:cs="Times New Roman"/>
                <w:i/>
                <w:snapToGrid w:val="0"/>
                <w:sz w:val="24"/>
                <w:szCs w:val="20"/>
                <w:lang w:val="en-US"/>
              </w:rPr>
              <w:t xml:space="preserve"> that assets should be valued at purchase cost </w:t>
            </w:r>
            <w:r>
              <w:rPr>
                <w:rFonts w:ascii="Times New Roman" w:eastAsia="Times New Roman" w:hAnsi="Times New Roman" w:cs="Times New Roman"/>
                <w:i/>
                <w:snapToGrid w:val="0"/>
                <w:sz w:val="24"/>
                <w:szCs w:val="20"/>
                <w:lang w:val="en-US"/>
              </w:rPr>
              <w:t>if this is known (</w:t>
            </w:r>
            <w:r w:rsidRPr="006A1B89">
              <w:rPr>
                <w:rFonts w:ascii="Times New Roman" w:eastAsia="Times New Roman" w:hAnsi="Times New Roman" w:cs="Times New Roman"/>
                <w:i/>
                <w:snapToGrid w:val="0"/>
                <w:sz w:val="24"/>
                <w:szCs w:val="20"/>
                <w:lang w:val="en-US"/>
              </w:rPr>
              <w:t xml:space="preserve">or an insurance proxy that doesn’t change over time), </w:t>
            </w:r>
            <w:r w:rsidRPr="00DC7558">
              <w:rPr>
                <w:rFonts w:ascii="Times New Roman" w:eastAsia="Times New Roman" w:hAnsi="Times New Roman" w:cs="Times New Roman"/>
                <w:b/>
                <w:i/>
                <w:snapToGrid w:val="0"/>
                <w:sz w:val="24"/>
                <w:szCs w:val="20"/>
                <w:lang w:val="en-US"/>
              </w:rPr>
              <w:t xml:space="preserve">therefore, the only movement in fixed assets each year should be for additions </w:t>
            </w:r>
            <w:r>
              <w:rPr>
                <w:rFonts w:ascii="Times New Roman" w:eastAsia="Times New Roman" w:hAnsi="Times New Roman" w:cs="Times New Roman"/>
                <w:b/>
                <w:i/>
                <w:snapToGrid w:val="0"/>
                <w:sz w:val="24"/>
                <w:szCs w:val="20"/>
                <w:lang w:val="en-US"/>
              </w:rPr>
              <w:t xml:space="preserve">at cost </w:t>
            </w:r>
            <w:r w:rsidRPr="00DC7558">
              <w:rPr>
                <w:rFonts w:ascii="Times New Roman" w:eastAsia="Times New Roman" w:hAnsi="Times New Roman" w:cs="Times New Roman"/>
                <w:b/>
                <w:i/>
                <w:snapToGrid w:val="0"/>
                <w:sz w:val="24"/>
                <w:szCs w:val="20"/>
                <w:lang w:val="en-US"/>
              </w:rPr>
              <w:t>and disposals</w:t>
            </w:r>
            <w:r>
              <w:rPr>
                <w:rFonts w:ascii="Times New Roman" w:eastAsia="Times New Roman" w:hAnsi="Times New Roman" w:cs="Times New Roman"/>
                <w:b/>
                <w:i/>
                <w:snapToGrid w:val="0"/>
                <w:sz w:val="24"/>
                <w:szCs w:val="20"/>
                <w:lang w:val="en-US"/>
              </w:rPr>
              <w:t xml:space="preserve"> at carrying value.</w:t>
            </w:r>
          </w:p>
          <w:p w14:paraId="34277438" w14:textId="77777777" w:rsidR="00FD0ED8" w:rsidRPr="0093463B" w:rsidRDefault="00FD0ED8" w:rsidP="00FD0ED8">
            <w:pPr>
              <w:spacing w:after="0" w:line="240" w:lineRule="auto"/>
              <w:rPr>
                <w:rFonts w:ascii="Times New Roman" w:eastAsia="Times New Roman" w:hAnsi="Times New Roman" w:cs="Times New Roman"/>
                <w:i/>
                <w:snapToGrid w:val="0"/>
                <w:sz w:val="24"/>
                <w:szCs w:val="24"/>
                <w:lang w:val="en-US"/>
              </w:rPr>
            </w:pPr>
          </w:p>
        </w:tc>
        <w:tc>
          <w:tcPr>
            <w:tcW w:w="4399" w:type="dxa"/>
            <w:tcBorders>
              <w:top w:val="single" w:sz="6" w:space="0" w:color="auto"/>
              <w:left w:val="single" w:sz="6" w:space="0" w:color="auto"/>
              <w:bottom w:val="single" w:sz="6" w:space="0" w:color="auto"/>
              <w:right w:val="single" w:sz="6" w:space="0" w:color="auto"/>
            </w:tcBorders>
          </w:tcPr>
          <w:p w14:paraId="68A26A7F" w14:textId="359F1044"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Resolved – the asset register had been restated for 2016/17.</w:t>
            </w:r>
          </w:p>
        </w:tc>
      </w:tr>
      <w:tr w:rsidR="00FD0ED8" w:rsidRPr="0093463B" w14:paraId="22A0CF8B" w14:textId="77777777" w:rsidTr="00D83B92">
        <w:tc>
          <w:tcPr>
            <w:tcW w:w="568" w:type="dxa"/>
            <w:tcBorders>
              <w:top w:val="single" w:sz="6" w:space="0" w:color="auto"/>
              <w:left w:val="single" w:sz="6" w:space="0" w:color="auto"/>
              <w:bottom w:val="single" w:sz="6" w:space="0" w:color="auto"/>
              <w:right w:val="single" w:sz="6" w:space="0" w:color="auto"/>
            </w:tcBorders>
          </w:tcPr>
          <w:p w14:paraId="5C6940A3" w14:textId="77777777"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r w:rsidRPr="0093463B">
              <w:rPr>
                <w:rFonts w:ascii="Times New Roman" w:eastAsia="Times New Roman" w:hAnsi="Times New Roman" w:cs="Times New Roman"/>
                <w:snapToGrid w:val="0"/>
                <w:sz w:val="24"/>
                <w:szCs w:val="20"/>
                <w:lang w:val="en-US"/>
              </w:rPr>
              <w:t>8</w:t>
            </w:r>
          </w:p>
        </w:tc>
        <w:tc>
          <w:tcPr>
            <w:tcW w:w="4396" w:type="dxa"/>
            <w:tcBorders>
              <w:top w:val="single" w:sz="4" w:space="0" w:color="auto"/>
              <w:left w:val="single" w:sz="6" w:space="0" w:color="auto"/>
              <w:bottom w:val="single" w:sz="6" w:space="0" w:color="auto"/>
              <w:right w:val="single" w:sz="4" w:space="0" w:color="auto"/>
            </w:tcBorders>
          </w:tcPr>
          <w:p w14:paraId="44B7E1E8" w14:textId="14868E4D"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3463B">
              <w:rPr>
                <w:rFonts w:ascii="Times New Roman" w:eastAsia="Times New Roman" w:hAnsi="Times New Roman" w:cs="Times New Roman"/>
                <w:sz w:val="24"/>
                <w:szCs w:val="24"/>
                <w:lang w:val="en-US"/>
              </w:rPr>
              <w:t>Petty Cash is include</w:t>
            </w:r>
            <w:r>
              <w:rPr>
                <w:rFonts w:ascii="Times New Roman" w:eastAsia="Times New Roman" w:hAnsi="Times New Roman" w:cs="Times New Roman"/>
                <w:sz w:val="24"/>
                <w:szCs w:val="24"/>
                <w:lang w:val="en-US"/>
              </w:rPr>
              <w:t>d</w:t>
            </w:r>
            <w:r w:rsidRPr="0093463B">
              <w:rPr>
                <w:rFonts w:ascii="Times New Roman" w:eastAsia="Times New Roman" w:hAnsi="Times New Roman" w:cs="Times New Roman"/>
                <w:sz w:val="24"/>
                <w:szCs w:val="24"/>
                <w:lang w:val="en-US"/>
              </w:rPr>
              <w:t xml:space="preserve"> in fixed assets which is incorrect. It should be disclosed as part of year end cash balances and petty cash expenditure included in the expenditure of the council. </w:t>
            </w:r>
          </w:p>
          <w:p w14:paraId="0B146123" w14:textId="66BB9109"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top w:val="single" w:sz="4" w:space="0" w:color="auto"/>
              <w:left w:val="single" w:sz="4" w:space="0" w:color="auto"/>
              <w:bottom w:val="single" w:sz="6" w:space="0" w:color="auto"/>
              <w:right w:val="single" w:sz="6" w:space="0" w:color="auto"/>
            </w:tcBorders>
          </w:tcPr>
          <w:p w14:paraId="761ECA49" w14:textId="4C5D6D3B"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 xml:space="preserve">Petty cash balances should be removed from the fixed asset register and disclosed in </w:t>
            </w:r>
            <w:proofErr w:type="spellStart"/>
            <w:r>
              <w:rPr>
                <w:rFonts w:ascii="Times New Roman" w:eastAsia="Times New Roman" w:hAnsi="Times New Roman" w:cs="Times New Roman"/>
                <w:i/>
                <w:snapToGrid w:val="0"/>
                <w:sz w:val="24"/>
                <w:szCs w:val="24"/>
                <w:lang w:val="en-US"/>
              </w:rPr>
              <w:t>year end</w:t>
            </w:r>
            <w:proofErr w:type="spellEnd"/>
            <w:r>
              <w:rPr>
                <w:rFonts w:ascii="Times New Roman" w:eastAsia="Times New Roman" w:hAnsi="Times New Roman" w:cs="Times New Roman"/>
                <w:i/>
                <w:snapToGrid w:val="0"/>
                <w:sz w:val="24"/>
                <w:szCs w:val="24"/>
                <w:lang w:val="en-US"/>
              </w:rPr>
              <w:t xml:space="preserve"> cash and bank balances.</w:t>
            </w:r>
          </w:p>
          <w:p w14:paraId="2F9B5706"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721AC7DB"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12635675" w14:textId="7813AC30" w:rsidR="00FD0ED8" w:rsidRDefault="00FD0ED8" w:rsidP="00FD0ED8">
            <w:pPr>
              <w:spacing w:after="0" w:line="240" w:lineRule="auto"/>
              <w:rPr>
                <w:rFonts w:ascii="Times New Roman" w:eastAsia="Times New Roman" w:hAnsi="Times New Roman" w:cs="Times New Roman"/>
                <w:i/>
                <w:sz w:val="24"/>
                <w:szCs w:val="24"/>
                <w:lang w:val="en-US"/>
              </w:rPr>
            </w:pPr>
            <w:r w:rsidRPr="0093463B">
              <w:rPr>
                <w:rFonts w:ascii="Times New Roman" w:eastAsia="Times New Roman" w:hAnsi="Times New Roman" w:cs="Times New Roman"/>
                <w:i/>
                <w:sz w:val="24"/>
                <w:szCs w:val="24"/>
                <w:lang w:val="en-US"/>
              </w:rPr>
              <w:t>The petty cash is rarely used as expenses are reimbursed directly based on expenses claims. Therefore, if a petty cash system is not to be continued the cash should be paid into the council bank account.</w:t>
            </w:r>
          </w:p>
          <w:p w14:paraId="27DF1FFB" w14:textId="1404ACBC" w:rsidR="00FD0ED8" w:rsidRPr="0093463B" w:rsidRDefault="00FD0ED8" w:rsidP="00FD0ED8">
            <w:pPr>
              <w:spacing w:after="0" w:line="240" w:lineRule="auto"/>
              <w:rPr>
                <w:rFonts w:ascii="Times New Roman" w:eastAsia="Times New Roman" w:hAnsi="Times New Roman" w:cs="Times New Roman"/>
                <w:i/>
                <w:snapToGrid w:val="0"/>
                <w:sz w:val="24"/>
                <w:szCs w:val="24"/>
                <w:lang w:val="en-US"/>
              </w:rPr>
            </w:pPr>
          </w:p>
        </w:tc>
        <w:tc>
          <w:tcPr>
            <w:tcW w:w="4399" w:type="dxa"/>
            <w:tcBorders>
              <w:top w:val="single" w:sz="6" w:space="0" w:color="auto"/>
              <w:left w:val="single" w:sz="6" w:space="0" w:color="auto"/>
              <w:bottom w:val="single" w:sz="6" w:space="0" w:color="auto"/>
              <w:right w:val="single" w:sz="6" w:space="0" w:color="auto"/>
            </w:tcBorders>
          </w:tcPr>
          <w:p w14:paraId="35DAB6BA" w14:textId="392DA004"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Implemented – petty cash system no longer in place</w:t>
            </w:r>
          </w:p>
        </w:tc>
      </w:tr>
      <w:tr w:rsidR="00FD0ED8" w:rsidRPr="0093463B" w14:paraId="1D1F3FB0" w14:textId="77777777" w:rsidTr="00D83B92">
        <w:tc>
          <w:tcPr>
            <w:tcW w:w="568" w:type="dxa"/>
            <w:tcBorders>
              <w:top w:val="single" w:sz="6" w:space="0" w:color="auto"/>
              <w:left w:val="single" w:sz="6" w:space="0" w:color="auto"/>
              <w:bottom w:val="single" w:sz="6" w:space="0" w:color="auto"/>
              <w:right w:val="single" w:sz="6" w:space="0" w:color="auto"/>
            </w:tcBorders>
          </w:tcPr>
          <w:p w14:paraId="54A6FB61" w14:textId="2F0B5BF0"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9</w:t>
            </w:r>
          </w:p>
        </w:tc>
        <w:tc>
          <w:tcPr>
            <w:tcW w:w="4396" w:type="dxa"/>
            <w:tcBorders>
              <w:top w:val="single" w:sz="4" w:space="0" w:color="auto"/>
              <w:left w:val="single" w:sz="6" w:space="0" w:color="auto"/>
              <w:bottom w:val="single" w:sz="4" w:space="0" w:color="auto"/>
              <w:right w:val="single" w:sz="4" w:space="0" w:color="auto"/>
            </w:tcBorders>
          </w:tcPr>
          <w:p w14:paraId="250689D6" w14:textId="01FB00F3"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Sample testing of payments identified that the internal control whereby the BACS sheet is attached to the invoice and then reviewed and signed by a member to verify the payment is agreed and paid to the correct supplier bank accounts, is not operating effectively. For instance, the BACs sheet for the significant online payment to Friends of Prestbury on 17/11/2017 was not signed. </w:t>
            </w:r>
          </w:p>
        </w:tc>
        <w:tc>
          <w:tcPr>
            <w:tcW w:w="4398" w:type="dxa"/>
            <w:tcBorders>
              <w:top w:val="single" w:sz="4" w:space="0" w:color="auto"/>
              <w:left w:val="single" w:sz="4" w:space="0" w:color="auto"/>
              <w:bottom w:val="single" w:sz="4" w:space="0" w:color="auto"/>
              <w:right w:val="single" w:sz="6" w:space="0" w:color="auto"/>
            </w:tcBorders>
          </w:tcPr>
          <w:p w14:paraId="06E2A92B" w14:textId="42C26C8D" w:rsidR="00FD0ED8" w:rsidRPr="0093463B"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Members should ensure that internal controls over the verification of payments are applied throughout the financial year.</w:t>
            </w:r>
          </w:p>
        </w:tc>
        <w:tc>
          <w:tcPr>
            <w:tcW w:w="4399" w:type="dxa"/>
            <w:tcBorders>
              <w:top w:val="single" w:sz="6" w:space="0" w:color="auto"/>
              <w:left w:val="single" w:sz="6" w:space="0" w:color="auto"/>
              <w:bottom w:val="single" w:sz="6" w:space="0" w:color="auto"/>
              <w:right w:val="single" w:sz="6" w:space="0" w:color="auto"/>
            </w:tcBorders>
          </w:tcPr>
          <w:p w14:paraId="4080829B" w14:textId="190C3CB3"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See 2018/19 issues</w:t>
            </w:r>
          </w:p>
        </w:tc>
      </w:tr>
      <w:tr w:rsidR="00FD0ED8" w:rsidRPr="0093463B" w14:paraId="14DB6E71" w14:textId="77777777" w:rsidTr="007F3F27">
        <w:tc>
          <w:tcPr>
            <w:tcW w:w="568" w:type="dxa"/>
            <w:tcBorders>
              <w:top w:val="single" w:sz="6" w:space="0" w:color="auto"/>
              <w:left w:val="single" w:sz="6" w:space="0" w:color="auto"/>
              <w:bottom w:val="single" w:sz="6" w:space="0" w:color="auto"/>
              <w:right w:val="single" w:sz="6" w:space="0" w:color="auto"/>
            </w:tcBorders>
          </w:tcPr>
          <w:p w14:paraId="7E35F1EC" w14:textId="4D1FC856"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10</w:t>
            </w:r>
          </w:p>
        </w:tc>
        <w:tc>
          <w:tcPr>
            <w:tcW w:w="4396" w:type="dxa"/>
            <w:tcBorders>
              <w:top w:val="single" w:sz="6" w:space="0" w:color="auto"/>
              <w:left w:val="single" w:sz="6" w:space="0" w:color="auto"/>
              <w:bottom w:val="single" w:sz="6" w:space="0" w:color="auto"/>
              <w:right w:val="single" w:sz="6" w:space="0" w:color="auto"/>
            </w:tcBorders>
          </w:tcPr>
          <w:p w14:paraId="727F283B" w14:textId="77777777" w:rsidR="00FD0ED8" w:rsidRDefault="00FD0ED8" w:rsidP="00FD0ED8">
            <w:pPr>
              <w:pStyle w:val="TableText"/>
              <w:jc w:val="left"/>
            </w:pPr>
            <w:r>
              <w:t>STAFF COSTS</w:t>
            </w:r>
          </w:p>
          <w:p w14:paraId="4F7C3507" w14:textId="77777777" w:rsidR="00FD0ED8" w:rsidRDefault="00FD0ED8" w:rsidP="00FD0ED8">
            <w:pPr>
              <w:pStyle w:val="TableText"/>
              <w:jc w:val="left"/>
            </w:pPr>
          </w:p>
          <w:p w14:paraId="66350A77" w14:textId="1CA4F57D" w:rsidR="00FD0ED8" w:rsidRDefault="00FD0ED8" w:rsidP="00FD0ED8">
            <w:pPr>
              <w:pStyle w:val="TableText"/>
              <w:jc w:val="left"/>
            </w:pPr>
            <w:r w:rsidRPr="0076562E">
              <w:t xml:space="preserve">The </w:t>
            </w:r>
            <w:r>
              <w:t>corrected monthly expenditure control sheet completed by the acting RFO totals £25173.06, and £25308 is disclosed in the draft Annual Return for staff costs. The difference is £135 (rounded) which means the</w:t>
            </w:r>
            <w:r w:rsidRPr="0076562E">
              <w:t xml:space="preserve"> </w:t>
            </w:r>
            <w:r>
              <w:t>A</w:t>
            </w:r>
            <w:r w:rsidRPr="0076562E">
              <w:t xml:space="preserve">nnual </w:t>
            </w:r>
            <w:r>
              <w:t>R</w:t>
            </w:r>
            <w:r w:rsidRPr="0076562E">
              <w:t>eturn figure include</w:t>
            </w:r>
            <w:r>
              <w:t>s</w:t>
            </w:r>
            <w:r w:rsidRPr="0076562E">
              <w:t xml:space="preserve"> mileage costs</w:t>
            </w:r>
            <w:r>
              <w:t>. Mileage expense paid at up to 45p per mile is not a taxable benefit and therefore should not be included in Staff Costs; the amount should be included in Other Payments in the Annual Return.</w:t>
            </w:r>
          </w:p>
          <w:p w14:paraId="768EE829" w14:textId="77777777"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top w:val="single" w:sz="6" w:space="0" w:color="auto"/>
              <w:left w:val="single" w:sz="6" w:space="0" w:color="auto"/>
              <w:bottom w:val="single" w:sz="6" w:space="0" w:color="auto"/>
              <w:right w:val="single" w:sz="6" w:space="0" w:color="auto"/>
            </w:tcBorders>
          </w:tcPr>
          <w:p w14:paraId="13FE27F8" w14:textId="74A0800D" w:rsidR="00FD0ED8" w:rsidRPr="00590750" w:rsidRDefault="00FD0ED8" w:rsidP="00FD0ED8">
            <w:pPr>
              <w:spacing w:after="0" w:line="240" w:lineRule="auto"/>
              <w:rPr>
                <w:rFonts w:ascii="Times New Roman" w:hAnsi="Times New Roman" w:cs="Times New Roman"/>
                <w:i/>
                <w:sz w:val="24"/>
                <w:szCs w:val="24"/>
              </w:rPr>
            </w:pPr>
            <w:r w:rsidRPr="00590750">
              <w:rPr>
                <w:rFonts w:ascii="Times New Roman" w:hAnsi="Times New Roman" w:cs="Times New Roman"/>
                <w:i/>
                <w:sz w:val="24"/>
                <w:szCs w:val="24"/>
              </w:rPr>
              <w:t xml:space="preserve">Council should ensure the correct figure </w:t>
            </w:r>
            <w:r>
              <w:rPr>
                <w:rFonts w:ascii="Times New Roman" w:hAnsi="Times New Roman" w:cs="Times New Roman"/>
                <w:i/>
                <w:sz w:val="24"/>
                <w:szCs w:val="24"/>
              </w:rPr>
              <w:t xml:space="preserve">for Staff Costs </w:t>
            </w:r>
            <w:r w:rsidRPr="00590750">
              <w:rPr>
                <w:rFonts w:ascii="Times New Roman" w:hAnsi="Times New Roman" w:cs="Times New Roman"/>
                <w:i/>
                <w:sz w:val="24"/>
                <w:szCs w:val="24"/>
              </w:rPr>
              <w:t xml:space="preserve">is disclosed in the Annual Return for </w:t>
            </w:r>
            <w:r>
              <w:rPr>
                <w:rFonts w:ascii="Times New Roman" w:hAnsi="Times New Roman" w:cs="Times New Roman"/>
                <w:i/>
                <w:sz w:val="24"/>
                <w:szCs w:val="24"/>
              </w:rPr>
              <w:t>2017/18</w:t>
            </w:r>
          </w:p>
          <w:p w14:paraId="50ECE024"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2A5FB21A" w14:textId="77777777" w:rsidR="00FD0ED8" w:rsidRPr="002F2F2C" w:rsidRDefault="00FD0ED8" w:rsidP="00FD0ED8">
            <w:pPr>
              <w:pStyle w:val="Header"/>
              <w:rPr>
                <w:b/>
                <w:i/>
                <w:sz w:val="16"/>
                <w:szCs w:val="16"/>
              </w:rPr>
            </w:pPr>
            <w:r w:rsidRPr="002F2F2C">
              <w:rPr>
                <w:b/>
                <w:i/>
                <w:sz w:val="16"/>
                <w:szCs w:val="16"/>
              </w:rPr>
              <w:t>The Governance Guide for Smaller Councils states in section 2.15 that    ‘…the staff costs cell includes all the costs incurred by the authority in relation to the employment of its staff. It includes employment expenses which are benefits (for example mileage and travel expenses)…..’</w:t>
            </w:r>
          </w:p>
          <w:p w14:paraId="34404DF0" w14:textId="77777777" w:rsidR="00FD0ED8" w:rsidRPr="002F2F2C" w:rsidRDefault="00FD0ED8" w:rsidP="00FD0ED8">
            <w:pPr>
              <w:pStyle w:val="Header"/>
              <w:rPr>
                <w:b/>
                <w:i/>
                <w:sz w:val="16"/>
                <w:szCs w:val="16"/>
              </w:rPr>
            </w:pPr>
          </w:p>
          <w:p w14:paraId="3135F934" w14:textId="77777777" w:rsidR="00FD0ED8" w:rsidRPr="002F2F2C" w:rsidRDefault="00FD0ED8" w:rsidP="00FD0ED8">
            <w:pPr>
              <w:pStyle w:val="Header"/>
              <w:rPr>
                <w:b/>
                <w:i/>
                <w:sz w:val="16"/>
                <w:szCs w:val="16"/>
              </w:rPr>
            </w:pPr>
            <w:r w:rsidRPr="002F2F2C">
              <w:rPr>
                <w:b/>
                <w:i/>
                <w:sz w:val="16"/>
                <w:szCs w:val="16"/>
              </w:rPr>
              <w:t>The Guide is clear in that the expense must be a Benefit (</w:t>
            </w:r>
            <w:proofErr w:type="spellStart"/>
            <w:r w:rsidRPr="002F2F2C">
              <w:rPr>
                <w:b/>
                <w:i/>
                <w:sz w:val="16"/>
                <w:szCs w:val="16"/>
              </w:rPr>
              <w:t>ie</w:t>
            </w:r>
            <w:proofErr w:type="spellEnd"/>
            <w:r w:rsidRPr="002F2F2C">
              <w:rPr>
                <w:b/>
                <w:i/>
                <w:sz w:val="16"/>
                <w:szCs w:val="16"/>
              </w:rPr>
              <w:t xml:space="preserve"> a Benefit in Kind) which is a disclosable item on a P11d. Mileage expenses are a benefit that is disclosable on a P11d only to the extent that they are in excess of the 45p tax neutral rate permitted by HMRC.</w:t>
            </w:r>
          </w:p>
          <w:p w14:paraId="636D6FCB" w14:textId="3ABD0262" w:rsidR="00FD0ED8" w:rsidRPr="000F35F3" w:rsidRDefault="00FD0ED8" w:rsidP="00FD0ED8">
            <w:pPr>
              <w:pStyle w:val="Header"/>
              <w:rPr>
                <w:b/>
                <w:i/>
              </w:rPr>
            </w:pPr>
          </w:p>
        </w:tc>
        <w:tc>
          <w:tcPr>
            <w:tcW w:w="4399" w:type="dxa"/>
            <w:tcBorders>
              <w:top w:val="single" w:sz="6" w:space="0" w:color="auto"/>
              <w:left w:val="single" w:sz="6" w:space="0" w:color="auto"/>
              <w:bottom w:val="single" w:sz="6" w:space="0" w:color="auto"/>
              <w:right w:val="single" w:sz="6" w:space="0" w:color="auto"/>
            </w:tcBorders>
          </w:tcPr>
          <w:p w14:paraId="0D0AE2E2" w14:textId="77AFC216" w:rsidR="00FD0ED8" w:rsidRDefault="00FD0ED8" w:rsidP="00FD0ED8">
            <w:pPr>
              <w:pStyle w:val="Header"/>
              <w:rPr>
                <w:b/>
              </w:rPr>
            </w:pPr>
            <w:r>
              <w:rPr>
                <w:b/>
              </w:rPr>
              <w:t>2017/18 annual return amended</w:t>
            </w:r>
          </w:p>
          <w:p w14:paraId="75AE9E03" w14:textId="77777777" w:rsidR="00FD0ED8" w:rsidRDefault="00FD0ED8" w:rsidP="00FD0ED8">
            <w:pPr>
              <w:pStyle w:val="Header"/>
              <w:rPr>
                <w:b/>
              </w:rPr>
            </w:pPr>
          </w:p>
          <w:p w14:paraId="7866A52C" w14:textId="77777777"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p>
        </w:tc>
      </w:tr>
      <w:tr w:rsidR="00FD0ED8" w:rsidRPr="0093463B" w14:paraId="597E8951" w14:textId="77777777" w:rsidTr="00D83B92">
        <w:tc>
          <w:tcPr>
            <w:tcW w:w="568" w:type="dxa"/>
            <w:tcBorders>
              <w:top w:val="single" w:sz="6" w:space="0" w:color="auto"/>
              <w:left w:val="single" w:sz="6" w:space="0" w:color="auto"/>
              <w:bottom w:val="single" w:sz="6" w:space="0" w:color="auto"/>
              <w:right w:val="single" w:sz="6" w:space="0" w:color="auto"/>
            </w:tcBorders>
          </w:tcPr>
          <w:p w14:paraId="6095B01B" w14:textId="10906CDC"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11</w:t>
            </w:r>
          </w:p>
        </w:tc>
        <w:tc>
          <w:tcPr>
            <w:tcW w:w="4396" w:type="dxa"/>
            <w:tcBorders>
              <w:top w:val="single" w:sz="4" w:space="0" w:color="auto"/>
              <w:left w:val="single" w:sz="6" w:space="0" w:color="auto"/>
              <w:bottom w:val="single" w:sz="4" w:space="0" w:color="auto"/>
              <w:right w:val="single" w:sz="4" w:space="0" w:color="auto"/>
            </w:tcBorders>
          </w:tcPr>
          <w:p w14:paraId="2054C7E0" w14:textId="3EFB08D1"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acting RFO has carried out a robust 100% check of invoices to the monthly expenditure control sheet and supplementary multiple transaction sheets in order to correct the cash book monthly summary and complete the cumulative annual bank reconciliation. A number of issues have been identified by the acting RFO including missing VAT invoices, VAT not claimed, and unsigned BACs sheets. For instance, see February 2018 accounts file where BACs sheets are not signed as evidence of review by a member.</w:t>
            </w:r>
          </w:p>
          <w:p w14:paraId="6991E7EE" w14:textId="083CD219"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top w:val="single" w:sz="4" w:space="0" w:color="auto"/>
              <w:left w:val="single" w:sz="4" w:space="0" w:color="auto"/>
              <w:bottom w:val="single" w:sz="4" w:space="0" w:color="auto"/>
              <w:right w:val="single" w:sz="6" w:space="0" w:color="auto"/>
            </w:tcBorders>
          </w:tcPr>
          <w:p w14:paraId="1D7B736C" w14:textId="45E1D998" w:rsidR="00FD0ED8" w:rsidRPr="0093463B"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The council should review the issues identified in the monthly accounts by the acting RFO and ensure VAT invoices exist for all standard rated supplies, the VAT reclaim is complete and accurate, and that unsigned BACs sheets are reviewed and signed to ensure the correct supplier bank accounts were paid</w:t>
            </w:r>
          </w:p>
        </w:tc>
        <w:tc>
          <w:tcPr>
            <w:tcW w:w="4399" w:type="dxa"/>
            <w:tcBorders>
              <w:top w:val="single" w:sz="6" w:space="0" w:color="auto"/>
              <w:left w:val="single" w:sz="6" w:space="0" w:color="auto"/>
              <w:bottom w:val="single" w:sz="6" w:space="0" w:color="auto"/>
              <w:right w:val="single" w:sz="6" w:space="0" w:color="auto"/>
            </w:tcBorders>
          </w:tcPr>
          <w:p w14:paraId="2407C789" w14:textId="5B0D5C13"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Implemented</w:t>
            </w:r>
          </w:p>
        </w:tc>
      </w:tr>
      <w:tr w:rsidR="00FD0ED8" w:rsidRPr="0093463B" w14:paraId="3F9B2ED0" w14:textId="77777777" w:rsidTr="00D83B92">
        <w:tc>
          <w:tcPr>
            <w:tcW w:w="568" w:type="dxa"/>
            <w:tcBorders>
              <w:top w:val="single" w:sz="6" w:space="0" w:color="auto"/>
              <w:left w:val="single" w:sz="6" w:space="0" w:color="auto"/>
              <w:bottom w:val="single" w:sz="6" w:space="0" w:color="auto"/>
              <w:right w:val="single" w:sz="6" w:space="0" w:color="auto"/>
            </w:tcBorders>
          </w:tcPr>
          <w:p w14:paraId="253330B2" w14:textId="029CEB24" w:rsidR="00FD0ED8"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12</w:t>
            </w:r>
          </w:p>
        </w:tc>
        <w:tc>
          <w:tcPr>
            <w:tcW w:w="4396" w:type="dxa"/>
            <w:tcBorders>
              <w:top w:val="single" w:sz="4" w:space="0" w:color="auto"/>
              <w:left w:val="single" w:sz="6" w:space="0" w:color="auto"/>
              <w:bottom w:val="single" w:sz="4" w:space="0" w:color="auto"/>
              <w:right w:val="single" w:sz="4" w:space="0" w:color="auto"/>
            </w:tcBorders>
          </w:tcPr>
          <w:p w14:paraId="32B94F01" w14:textId="79F2D046"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3463B">
              <w:rPr>
                <w:rFonts w:ascii="Times New Roman" w:eastAsia="Times New Roman" w:hAnsi="Times New Roman" w:cs="Times New Roman"/>
                <w:sz w:val="24"/>
                <w:szCs w:val="24"/>
                <w:lang w:val="en-US"/>
              </w:rPr>
              <w:t>Data Protection Law change</w:t>
            </w:r>
            <w:r>
              <w:rPr>
                <w:rFonts w:ascii="Times New Roman" w:eastAsia="Times New Roman" w:hAnsi="Times New Roman" w:cs="Times New Roman"/>
                <w:sz w:val="24"/>
                <w:szCs w:val="24"/>
                <w:lang w:val="en-US"/>
              </w:rPr>
              <w:t>d</w:t>
            </w:r>
            <w:r w:rsidRPr="0093463B">
              <w:rPr>
                <w:rFonts w:ascii="Times New Roman" w:eastAsia="Times New Roman" w:hAnsi="Times New Roman" w:cs="Times New Roman"/>
                <w:sz w:val="24"/>
                <w:szCs w:val="24"/>
                <w:lang w:val="en-US"/>
              </w:rPr>
              <w:t xml:space="preserve"> significantly on May 25</w:t>
            </w:r>
            <w:r w:rsidRPr="0093463B">
              <w:rPr>
                <w:rFonts w:ascii="Times New Roman" w:eastAsia="Times New Roman" w:hAnsi="Times New Roman" w:cs="Times New Roman"/>
                <w:sz w:val="24"/>
                <w:szCs w:val="24"/>
                <w:vertAlign w:val="superscript"/>
                <w:lang w:val="en-US"/>
              </w:rPr>
              <w:t>th</w:t>
            </w:r>
            <w:r w:rsidRPr="0093463B">
              <w:rPr>
                <w:rFonts w:ascii="Times New Roman" w:eastAsia="Times New Roman" w:hAnsi="Times New Roman" w:cs="Times New Roman"/>
                <w:sz w:val="24"/>
                <w:szCs w:val="24"/>
                <w:lang w:val="en-US"/>
              </w:rPr>
              <w:t xml:space="preserve"> 2018 due to the 2016 EU Directive General Data Protection Regulation (GDPR) taking effect.</w:t>
            </w:r>
          </w:p>
          <w:p w14:paraId="0A18A771" w14:textId="77777777"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6EDC57DD"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3463B">
              <w:rPr>
                <w:rFonts w:ascii="Times New Roman" w:eastAsia="Times New Roman" w:hAnsi="Times New Roman" w:cs="Times New Roman"/>
                <w:sz w:val="24"/>
                <w:szCs w:val="24"/>
                <w:lang w:val="en-US"/>
              </w:rPr>
              <w:t>GDPR replaces the 1998 Data Protection Act and it will impose new obligations on Data Controllers and Data Processors and provides enhanced rights for individuals. Compliance with GDPR could have resource implications for local councils.</w:t>
            </w:r>
          </w:p>
          <w:p w14:paraId="1623B3DF" w14:textId="77777777"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37DFE8B8" w14:textId="7F76C53D" w:rsidR="00FD0ED8"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8" w:type="dxa"/>
            <w:tcBorders>
              <w:top w:val="single" w:sz="4" w:space="0" w:color="auto"/>
              <w:left w:val="single" w:sz="4" w:space="0" w:color="auto"/>
              <w:bottom w:val="single" w:sz="4" w:space="0" w:color="auto"/>
              <w:right w:val="single" w:sz="6" w:space="0" w:color="auto"/>
            </w:tcBorders>
          </w:tcPr>
          <w:p w14:paraId="72B82BC7"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r w:rsidRPr="0093463B">
              <w:rPr>
                <w:rFonts w:ascii="Times New Roman" w:eastAsia="Times New Roman" w:hAnsi="Times New Roman" w:cs="Times New Roman"/>
                <w:i/>
                <w:snapToGrid w:val="0"/>
                <w:sz w:val="24"/>
                <w:szCs w:val="24"/>
                <w:lang w:val="en-US"/>
              </w:rPr>
              <w:t>The impact of GDPR on the council should be identified through review of ICO and NALC guidance and the Data Protection policy, risk assessment and internal controls should be updated accordingly.</w:t>
            </w:r>
          </w:p>
          <w:p w14:paraId="1E747339"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p>
          <w:p w14:paraId="3387F627" w14:textId="77777777" w:rsidR="00FD0ED8"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A GDPR compliant data protection policy and a document retention policy should be adopted. Privacy notices should be developed internally for all staff, members and volunteers, and externally for residents. Data processing agreements should be established where external data processors are used (</w:t>
            </w:r>
            <w:proofErr w:type="spellStart"/>
            <w:r>
              <w:rPr>
                <w:rFonts w:ascii="Times New Roman" w:eastAsia="Times New Roman" w:hAnsi="Times New Roman" w:cs="Times New Roman"/>
                <w:i/>
                <w:snapToGrid w:val="0"/>
                <w:sz w:val="24"/>
                <w:szCs w:val="24"/>
                <w:lang w:val="en-US"/>
              </w:rPr>
              <w:t>eg</w:t>
            </w:r>
            <w:proofErr w:type="spellEnd"/>
            <w:r>
              <w:rPr>
                <w:rFonts w:ascii="Times New Roman" w:eastAsia="Times New Roman" w:hAnsi="Times New Roman" w:cs="Times New Roman"/>
                <w:i/>
                <w:snapToGrid w:val="0"/>
                <w:sz w:val="24"/>
                <w:szCs w:val="24"/>
                <w:lang w:val="en-US"/>
              </w:rPr>
              <w:t xml:space="preserve"> payroll agent).</w:t>
            </w:r>
          </w:p>
          <w:p w14:paraId="23EF9C55" w14:textId="648092AD" w:rsidR="00FD0ED8" w:rsidRDefault="00FD0ED8" w:rsidP="00FD0ED8">
            <w:pPr>
              <w:spacing w:after="0" w:line="240" w:lineRule="auto"/>
              <w:rPr>
                <w:rFonts w:ascii="Times New Roman" w:eastAsia="Times New Roman" w:hAnsi="Times New Roman" w:cs="Times New Roman"/>
                <w:i/>
                <w:snapToGrid w:val="0"/>
                <w:sz w:val="24"/>
                <w:szCs w:val="24"/>
                <w:lang w:val="en-US"/>
              </w:rPr>
            </w:pPr>
          </w:p>
        </w:tc>
        <w:tc>
          <w:tcPr>
            <w:tcW w:w="4399" w:type="dxa"/>
            <w:tcBorders>
              <w:top w:val="single" w:sz="6" w:space="0" w:color="auto"/>
              <w:left w:val="single" w:sz="6" w:space="0" w:color="auto"/>
              <w:bottom w:val="single" w:sz="6" w:space="0" w:color="auto"/>
              <w:right w:val="single" w:sz="6" w:space="0" w:color="auto"/>
            </w:tcBorders>
          </w:tcPr>
          <w:p w14:paraId="3A4D3947" w14:textId="484C39F1"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Ongoing implementation – GDPR policy in place</w:t>
            </w:r>
          </w:p>
        </w:tc>
      </w:tr>
      <w:tr w:rsidR="00FD0ED8" w:rsidRPr="0093463B" w14:paraId="719932B5" w14:textId="77777777" w:rsidTr="00D83B92">
        <w:tc>
          <w:tcPr>
            <w:tcW w:w="568" w:type="dxa"/>
            <w:tcBorders>
              <w:top w:val="single" w:sz="6" w:space="0" w:color="auto"/>
              <w:left w:val="single" w:sz="6" w:space="0" w:color="auto"/>
              <w:bottom w:val="single" w:sz="6" w:space="0" w:color="auto"/>
              <w:right w:val="single" w:sz="6" w:space="0" w:color="auto"/>
            </w:tcBorders>
          </w:tcPr>
          <w:p w14:paraId="0BB0A795" w14:textId="53E7CFA5" w:rsidR="00FD0ED8" w:rsidRPr="0093463B" w:rsidRDefault="00FD0ED8" w:rsidP="00FD0ED8">
            <w:pPr>
              <w:spacing w:after="0" w:line="240" w:lineRule="auto"/>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13</w:t>
            </w:r>
          </w:p>
        </w:tc>
        <w:tc>
          <w:tcPr>
            <w:tcW w:w="4396" w:type="dxa"/>
            <w:tcBorders>
              <w:top w:val="single" w:sz="4" w:space="0" w:color="auto"/>
              <w:left w:val="single" w:sz="6" w:space="0" w:color="auto"/>
              <w:bottom w:val="single" w:sz="4" w:space="0" w:color="auto"/>
              <w:right w:val="single" w:sz="4" w:space="0" w:color="auto"/>
            </w:tcBorders>
          </w:tcPr>
          <w:p w14:paraId="1319C51D" w14:textId="058159C6" w:rsidR="00FD0ED8" w:rsidRPr="0093463B" w:rsidRDefault="00FD0ED8" w:rsidP="00FD0E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audits carried out quarterly by members consistently raise the issue that the independent internal auditor should be carrying out a variance analysis of the accounts. </w:t>
            </w:r>
            <w:r w:rsidRPr="00157CB3">
              <w:rPr>
                <w:rFonts w:ascii="Times New Roman" w:eastAsia="Times New Roman" w:hAnsi="Times New Roman" w:cs="Times New Roman"/>
                <w:b/>
                <w:sz w:val="24"/>
                <w:szCs w:val="24"/>
                <w:lang w:val="en-US"/>
              </w:rPr>
              <w:t>This is not the role of the independent internal auditor.</w:t>
            </w:r>
            <w:r>
              <w:rPr>
                <w:rFonts w:ascii="Times New Roman" w:eastAsia="Times New Roman" w:hAnsi="Times New Roman" w:cs="Times New Roman"/>
                <w:sz w:val="24"/>
                <w:szCs w:val="24"/>
                <w:lang w:val="en-US"/>
              </w:rPr>
              <w:t xml:space="preserve"> The RFO should provide members with the year end, variance analysis for all material variances, and the cumulative bank reconciliation, as prescribed by the supporting documentation to the AGAR Annual Return. This should then be approved by council and submitted to the external auditor.</w:t>
            </w:r>
          </w:p>
        </w:tc>
        <w:tc>
          <w:tcPr>
            <w:tcW w:w="4398" w:type="dxa"/>
            <w:tcBorders>
              <w:top w:val="single" w:sz="4" w:space="0" w:color="auto"/>
              <w:left w:val="single" w:sz="4" w:space="0" w:color="auto"/>
              <w:bottom w:val="single" w:sz="4" w:space="0" w:color="auto"/>
              <w:right w:val="single" w:sz="6" w:space="0" w:color="auto"/>
            </w:tcBorders>
          </w:tcPr>
          <w:p w14:paraId="5EABB609" w14:textId="43433DD8" w:rsidR="00FD0ED8" w:rsidRPr="0093463B" w:rsidRDefault="00FD0ED8" w:rsidP="00FD0ED8">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The council should ensure the RFO completes the year end variance analysis.</w:t>
            </w:r>
          </w:p>
        </w:tc>
        <w:tc>
          <w:tcPr>
            <w:tcW w:w="4399" w:type="dxa"/>
            <w:tcBorders>
              <w:top w:val="single" w:sz="6" w:space="0" w:color="auto"/>
              <w:left w:val="single" w:sz="6" w:space="0" w:color="auto"/>
              <w:bottom w:val="single" w:sz="6" w:space="0" w:color="auto"/>
              <w:right w:val="single" w:sz="6" w:space="0" w:color="auto"/>
            </w:tcBorders>
          </w:tcPr>
          <w:p w14:paraId="7C736290" w14:textId="376EED82" w:rsidR="00FD0ED8" w:rsidRPr="0093463B" w:rsidRDefault="00FD0ED8" w:rsidP="00FD0ED8">
            <w:pPr>
              <w:spacing w:after="0" w:line="240" w:lineRule="auto"/>
              <w:rPr>
                <w:rFonts w:ascii="Times New Roman" w:eastAsia="Times New Roman" w:hAnsi="Times New Roman" w:cs="Times New Roman"/>
                <w:b/>
                <w:snapToGrid w:val="0"/>
                <w:sz w:val="24"/>
                <w:szCs w:val="20"/>
                <w:lang w:val="en-US"/>
              </w:rPr>
            </w:pPr>
            <w:r>
              <w:rPr>
                <w:rFonts w:ascii="Times New Roman" w:eastAsia="Times New Roman" w:hAnsi="Times New Roman" w:cs="Times New Roman"/>
                <w:b/>
                <w:snapToGrid w:val="0"/>
                <w:sz w:val="24"/>
                <w:szCs w:val="20"/>
                <w:lang w:val="en-US"/>
              </w:rPr>
              <w:t>Implemented</w:t>
            </w:r>
          </w:p>
        </w:tc>
      </w:tr>
      <w:bookmarkEnd w:id="0"/>
    </w:tbl>
    <w:p w14:paraId="22BE7A44" w14:textId="77777777" w:rsidR="00156278" w:rsidRDefault="00156278" w:rsidP="00156278">
      <w:pPr>
        <w:pStyle w:val="DefaultText"/>
      </w:pPr>
    </w:p>
    <w:sectPr w:rsidR="00156278" w:rsidSect="008E768D">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4F64" w14:textId="77777777" w:rsidR="001B5B0C" w:rsidRDefault="001B5B0C" w:rsidP="007067EC">
      <w:pPr>
        <w:spacing w:after="0" w:line="240" w:lineRule="auto"/>
      </w:pPr>
      <w:r>
        <w:separator/>
      </w:r>
    </w:p>
  </w:endnote>
  <w:endnote w:type="continuationSeparator" w:id="0">
    <w:p w14:paraId="0E003F21" w14:textId="77777777" w:rsidR="001B5B0C" w:rsidRDefault="001B5B0C" w:rsidP="0070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952C" w14:textId="5B189B02" w:rsidR="008C70FC" w:rsidRPr="00E62209" w:rsidRDefault="008C70FC" w:rsidP="00E62209">
    <w:pPr>
      <w:pStyle w:val="Footer"/>
      <w:jc w:val="center"/>
      <w:rPr>
        <w:color w:val="2E74B5"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2DE2" w14:textId="77777777" w:rsidR="008C70FC" w:rsidRDefault="008C70FC">
    <w:pPr>
      <w:pStyle w:val="DefaultText"/>
      <w:tabs>
        <w:tab w:val="center" w:pos="6480"/>
        <w:tab w:val="right" w:pos="12960"/>
      </w:tabs>
      <w:jc w:val="center"/>
      <w:rPr>
        <w:b/>
      </w:rPr>
    </w:pPr>
  </w:p>
  <w:p w14:paraId="694913C9" w14:textId="11D37797" w:rsidR="008C70FC" w:rsidRDefault="008C70FC">
    <w:pPr>
      <w:pStyle w:val="DefaultText"/>
      <w:tabs>
        <w:tab w:val="center" w:pos="6480"/>
        <w:tab w:val="right" w:pos="129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73F0" w14:textId="77777777" w:rsidR="001B5B0C" w:rsidRDefault="001B5B0C" w:rsidP="007067EC">
      <w:pPr>
        <w:spacing w:after="0" w:line="240" w:lineRule="auto"/>
      </w:pPr>
      <w:r>
        <w:separator/>
      </w:r>
    </w:p>
  </w:footnote>
  <w:footnote w:type="continuationSeparator" w:id="0">
    <w:p w14:paraId="721D7CC0" w14:textId="77777777" w:rsidR="001B5B0C" w:rsidRDefault="001B5B0C" w:rsidP="00706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2B86" w14:textId="77777777" w:rsidR="008C70FC" w:rsidRDefault="008C70FC">
    <w:pPr>
      <w:pStyle w:val="DefaultText"/>
      <w:tabs>
        <w:tab w:val="center" w:pos="6480"/>
        <w:tab w:val="right" w:pos="12960"/>
      </w:tabs>
    </w:pPr>
    <w:r>
      <w:tab/>
    </w:r>
    <w:r w:rsidRPr="00097ED3">
      <w:rPr>
        <w:b/>
      </w:rPr>
      <w:t>INTERIM</w:t>
    </w:r>
    <w:r>
      <w:t xml:space="preserve"> </w:t>
    </w:r>
    <w:r>
      <w:rPr>
        <w:b/>
      </w:rPr>
      <w:t xml:space="preserve">INTERNAL AUDIT REPORT </w:t>
    </w:r>
  </w:p>
  <w:p w14:paraId="06FA9816" w14:textId="3D228929" w:rsidR="008C70FC" w:rsidRDefault="008C70FC" w:rsidP="00EB0C92">
    <w:pPr>
      <w:pStyle w:val="DefaultText"/>
      <w:tabs>
        <w:tab w:val="center" w:pos="6480"/>
        <w:tab w:val="right" w:pos="12960"/>
      </w:tabs>
      <w:rPr>
        <w:b/>
      </w:rPr>
    </w:pPr>
    <w:r>
      <w:rPr>
        <w:b/>
      </w:rPr>
      <w:tab/>
    </w:r>
    <w:r w:rsidR="0093463B">
      <w:rPr>
        <w:b/>
      </w:rPr>
      <w:t>PRESTBURY PARISH</w:t>
    </w:r>
    <w:r>
      <w:rPr>
        <w:b/>
      </w:rPr>
      <w:t xml:space="preserve">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F81"/>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1" w15:restartNumberingAfterBreak="0">
    <w:nsid w:val="0B027F0D"/>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0E545852"/>
    <w:multiLevelType w:val="hybridMultilevel"/>
    <w:tmpl w:val="B1383B6A"/>
    <w:lvl w:ilvl="0" w:tplc="08090001">
      <w:start w:val="1"/>
      <w:numFmt w:val="bullet"/>
      <w:lvlText w:val=""/>
      <w:lvlJc w:val="left"/>
      <w:pPr>
        <w:tabs>
          <w:tab w:val="num" w:pos="720"/>
        </w:tabs>
        <w:ind w:left="720" w:hanging="360"/>
      </w:pPr>
      <w:rPr>
        <w:rFonts w:ascii="Symbol" w:hAnsi="Symbol"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F1B9D"/>
    <w:multiLevelType w:val="hybridMultilevel"/>
    <w:tmpl w:val="FBD4998A"/>
    <w:lvl w:ilvl="0" w:tplc="2496E1E4">
      <w:numFmt w:val="none"/>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23BB1"/>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16112BF8"/>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6" w15:restartNumberingAfterBreak="0">
    <w:nsid w:val="18F7608F"/>
    <w:multiLevelType w:val="hybridMultilevel"/>
    <w:tmpl w:val="42F4F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85CE5"/>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8" w15:restartNumberingAfterBreak="0">
    <w:nsid w:val="1B2464F7"/>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9" w15:restartNumberingAfterBreak="0">
    <w:nsid w:val="1BFE1B5B"/>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0" w15:restartNumberingAfterBreak="0">
    <w:nsid w:val="1F540EFB"/>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11" w15:restartNumberingAfterBreak="0">
    <w:nsid w:val="23EC50FB"/>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12" w15:restartNumberingAfterBreak="0">
    <w:nsid w:val="24034D72"/>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3" w15:restartNumberingAfterBreak="0">
    <w:nsid w:val="2A721A8B"/>
    <w:multiLevelType w:val="hybridMultilevel"/>
    <w:tmpl w:val="21BA24A6"/>
    <w:lvl w:ilvl="0" w:tplc="B8EA88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144DA"/>
    <w:multiLevelType w:val="hybridMultilevel"/>
    <w:tmpl w:val="3CF4D76A"/>
    <w:lvl w:ilvl="0" w:tplc="E2F212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A77BF"/>
    <w:multiLevelType w:val="hybridMultilevel"/>
    <w:tmpl w:val="429CB4EA"/>
    <w:lvl w:ilvl="0" w:tplc="37840E9E">
      <w:start w:val="1"/>
      <w:numFmt w:val="bullet"/>
      <w:lvlText w:val="-"/>
      <w:lvlJc w:val="left"/>
      <w:pPr>
        <w:ind w:left="720" w:hanging="360"/>
      </w:pPr>
      <w:rPr>
        <w:rFonts w:ascii="Times New Roman" w:eastAsiaTheme="minorHAnsi" w:hAnsi="Times New Roman" w:cs="Times New Roman" w:hint="default"/>
        <w:color w:val="2121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87C0F"/>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17" w15:restartNumberingAfterBreak="0">
    <w:nsid w:val="386834D6"/>
    <w:multiLevelType w:val="hybridMultilevel"/>
    <w:tmpl w:val="382AF5AE"/>
    <w:lvl w:ilvl="0" w:tplc="BC78BD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4E31DC"/>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9" w15:restartNumberingAfterBreak="0">
    <w:nsid w:val="3F7F1FBD"/>
    <w:multiLevelType w:val="hybridMultilevel"/>
    <w:tmpl w:val="7F64822C"/>
    <w:lvl w:ilvl="0" w:tplc="AA145CC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34736"/>
    <w:multiLevelType w:val="hybridMultilevel"/>
    <w:tmpl w:val="EDAEF480"/>
    <w:lvl w:ilvl="0" w:tplc="B53072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E4D14"/>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22" w15:restartNumberingAfterBreak="0">
    <w:nsid w:val="4C0779A5"/>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23" w15:restartNumberingAfterBreak="0">
    <w:nsid w:val="4D1325BA"/>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24" w15:restartNumberingAfterBreak="0">
    <w:nsid w:val="504101DD"/>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25" w15:restartNumberingAfterBreak="0">
    <w:nsid w:val="50E112F6"/>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26" w15:restartNumberingAfterBreak="0">
    <w:nsid w:val="53E36BE8"/>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27" w15:restartNumberingAfterBreak="0">
    <w:nsid w:val="5540430E"/>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28" w15:restartNumberingAfterBreak="0">
    <w:nsid w:val="55EE45AE"/>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29" w15:restartNumberingAfterBreak="0">
    <w:nsid w:val="5A4D0821"/>
    <w:multiLevelType w:val="hybridMultilevel"/>
    <w:tmpl w:val="03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B79E5"/>
    <w:multiLevelType w:val="hybridMultilevel"/>
    <w:tmpl w:val="EAA0B9A4"/>
    <w:lvl w:ilvl="0" w:tplc="7F8C9FB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0F90A0D"/>
    <w:multiLevelType w:val="hybridMultilevel"/>
    <w:tmpl w:val="6FD0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127F9"/>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33" w15:restartNumberingAfterBreak="0">
    <w:nsid w:val="659847BE"/>
    <w:multiLevelType w:val="hybridMultilevel"/>
    <w:tmpl w:val="B7DE55F4"/>
    <w:lvl w:ilvl="0" w:tplc="DB8057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73070"/>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35" w15:restartNumberingAfterBreak="0">
    <w:nsid w:val="68F96A97"/>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36" w15:restartNumberingAfterBreak="0">
    <w:nsid w:val="6BE61C2F"/>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37" w15:restartNumberingAfterBreak="0">
    <w:nsid w:val="6CBF2AE6"/>
    <w:multiLevelType w:val="hybridMultilevel"/>
    <w:tmpl w:val="88E2ACF0"/>
    <w:lvl w:ilvl="0" w:tplc="DDDCD3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B64CE"/>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39" w15:restartNumberingAfterBreak="0">
    <w:nsid w:val="6CF94E91"/>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40" w15:restartNumberingAfterBreak="0">
    <w:nsid w:val="6DA3499A"/>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41" w15:restartNumberingAfterBreak="0">
    <w:nsid w:val="6E866261"/>
    <w:multiLevelType w:val="hybridMultilevel"/>
    <w:tmpl w:val="22DE2052"/>
    <w:lvl w:ilvl="0" w:tplc="DAF6CE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0C558B"/>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43" w15:restartNumberingAfterBreak="0">
    <w:nsid w:val="75B6255E"/>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44" w15:restartNumberingAfterBreak="0">
    <w:nsid w:val="7B0966F7"/>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num w:numId="1">
    <w:abstractNumId w:val="33"/>
  </w:num>
  <w:num w:numId="2">
    <w:abstractNumId w:val="5"/>
  </w:num>
  <w:num w:numId="3">
    <w:abstractNumId w:val="36"/>
  </w:num>
  <w:num w:numId="4">
    <w:abstractNumId w:val="18"/>
  </w:num>
  <w:num w:numId="5">
    <w:abstractNumId w:val="9"/>
  </w:num>
  <w:num w:numId="6">
    <w:abstractNumId w:val="32"/>
  </w:num>
  <w:num w:numId="7">
    <w:abstractNumId w:val="44"/>
  </w:num>
  <w:num w:numId="8">
    <w:abstractNumId w:val="34"/>
  </w:num>
  <w:num w:numId="9">
    <w:abstractNumId w:val="21"/>
  </w:num>
  <w:num w:numId="10">
    <w:abstractNumId w:val="12"/>
  </w:num>
  <w:num w:numId="11">
    <w:abstractNumId w:val="35"/>
  </w:num>
  <w:num w:numId="12">
    <w:abstractNumId w:val="2"/>
  </w:num>
  <w:num w:numId="13">
    <w:abstractNumId w:val="6"/>
  </w:num>
  <w:num w:numId="14">
    <w:abstractNumId w:val="31"/>
  </w:num>
  <w:num w:numId="15">
    <w:abstractNumId w:val="13"/>
  </w:num>
  <w:num w:numId="16">
    <w:abstractNumId w:val="37"/>
  </w:num>
  <w:num w:numId="17">
    <w:abstractNumId w:val="23"/>
  </w:num>
  <w:num w:numId="18">
    <w:abstractNumId w:val="28"/>
  </w:num>
  <w:num w:numId="19">
    <w:abstractNumId w:val="43"/>
  </w:num>
  <w:num w:numId="20">
    <w:abstractNumId w:val="16"/>
  </w:num>
  <w:num w:numId="21">
    <w:abstractNumId w:val="4"/>
  </w:num>
  <w:num w:numId="22">
    <w:abstractNumId w:val="1"/>
  </w:num>
  <w:num w:numId="23">
    <w:abstractNumId w:val="0"/>
  </w:num>
  <w:num w:numId="24">
    <w:abstractNumId w:val="27"/>
  </w:num>
  <w:num w:numId="25">
    <w:abstractNumId w:val="10"/>
  </w:num>
  <w:num w:numId="26">
    <w:abstractNumId w:val="8"/>
  </w:num>
  <w:num w:numId="27">
    <w:abstractNumId w:val="29"/>
  </w:num>
  <w:num w:numId="28">
    <w:abstractNumId w:val="38"/>
  </w:num>
  <w:num w:numId="29">
    <w:abstractNumId w:val="11"/>
  </w:num>
  <w:num w:numId="30">
    <w:abstractNumId w:val="40"/>
  </w:num>
  <w:num w:numId="31">
    <w:abstractNumId w:val="26"/>
  </w:num>
  <w:num w:numId="32">
    <w:abstractNumId w:val="7"/>
  </w:num>
  <w:num w:numId="33">
    <w:abstractNumId w:val="39"/>
  </w:num>
  <w:num w:numId="34">
    <w:abstractNumId w:val="42"/>
  </w:num>
  <w:num w:numId="35">
    <w:abstractNumId w:val="22"/>
  </w:num>
  <w:num w:numId="36">
    <w:abstractNumId w:val="24"/>
  </w:num>
  <w:num w:numId="37">
    <w:abstractNumId w:val="25"/>
  </w:num>
  <w:num w:numId="38">
    <w:abstractNumId w:val="41"/>
  </w:num>
  <w:num w:numId="39">
    <w:abstractNumId w:val="3"/>
  </w:num>
  <w:num w:numId="40">
    <w:abstractNumId w:val="19"/>
  </w:num>
  <w:num w:numId="41">
    <w:abstractNumId w:val="14"/>
  </w:num>
  <w:num w:numId="42">
    <w:abstractNumId w:val="17"/>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3F"/>
    <w:rsid w:val="00011C43"/>
    <w:rsid w:val="00030F31"/>
    <w:rsid w:val="00034D5E"/>
    <w:rsid w:val="00040E43"/>
    <w:rsid w:val="00062708"/>
    <w:rsid w:val="00070103"/>
    <w:rsid w:val="00097608"/>
    <w:rsid w:val="00097ED3"/>
    <w:rsid w:val="000A5082"/>
    <w:rsid w:val="000A6B50"/>
    <w:rsid w:val="000C634F"/>
    <w:rsid w:val="000E5E1D"/>
    <w:rsid w:val="000F35F3"/>
    <w:rsid w:val="00100337"/>
    <w:rsid w:val="001029DD"/>
    <w:rsid w:val="00114E49"/>
    <w:rsid w:val="00114EDE"/>
    <w:rsid w:val="00117D67"/>
    <w:rsid w:val="00117DF7"/>
    <w:rsid w:val="00137754"/>
    <w:rsid w:val="00156278"/>
    <w:rsid w:val="00157CB3"/>
    <w:rsid w:val="00164C83"/>
    <w:rsid w:val="00165793"/>
    <w:rsid w:val="0017174D"/>
    <w:rsid w:val="001921A2"/>
    <w:rsid w:val="00192AD0"/>
    <w:rsid w:val="00194BAB"/>
    <w:rsid w:val="00197167"/>
    <w:rsid w:val="001B49EC"/>
    <w:rsid w:val="001B5482"/>
    <w:rsid w:val="001B5B0C"/>
    <w:rsid w:val="001D74BA"/>
    <w:rsid w:val="001E2EDF"/>
    <w:rsid w:val="001E313F"/>
    <w:rsid w:val="001E77CF"/>
    <w:rsid w:val="001F1571"/>
    <w:rsid w:val="001F3B77"/>
    <w:rsid w:val="002014DD"/>
    <w:rsid w:val="0020692D"/>
    <w:rsid w:val="0021283A"/>
    <w:rsid w:val="00215407"/>
    <w:rsid w:val="00222D5D"/>
    <w:rsid w:val="00226FB5"/>
    <w:rsid w:val="00264329"/>
    <w:rsid w:val="00282B42"/>
    <w:rsid w:val="0028395F"/>
    <w:rsid w:val="0028712D"/>
    <w:rsid w:val="00290721"/>
    <w:rsid w:val="002C2AEA"/>
    <w:rsid w:val="002E1908"/>
    <w:rsid w:val="002F2F2C"/>
    <w:rsid w:val="00301A4E"/>
    <w:rsid w:val="00305A1B"/>
    <w:rsid w:val="00306AB1"/>
    <w:rsid w:val="00310B57"/>
    <w:rsid w:val="00316A37"/>
    <w:rsid w:val="00317CCB"/>
    <w:rsid w:val="00321A51"/>
    <w:rsid w:val="00357C10"/>
    <w:rsid w:val="003710F4"/>
    <w:rsid w:val="0037510B"/>
    <w:rsid w:val="003A3A5E"/>
    <w:rsid w:val="003A5A86"/>
    <w:rsid w:val="003B4F6F"/>
    <w:rsid w:val="003D76EB"/>
    <w:rsid w:val="00400038"/>
    <w:rsid w:val="00412AB3"/>
    <w:rsid w:val="00413D5C"/>
    <w:rsid w:val="0043727B"/>
    <w:rsid w:val="00443974"/>
    <w:rsid w:val="00451D2C"/>
    <w:rsid w:val="00491064"/>
    <w:rsid w:val="004936F8"/>
    <w:rsid w:val="004A460E"/>
    <w:rsid w:val="004C0714"/>
    <w:rsid w:val="004D700C"/>
    <w:rsid w:val="004E6DFE"/>
    <w:rsid w:val="005262D8"/>
    <w:rsid w:val="00540084"/>
    <w:rsid w:val="0054097A"/>
    <w:rsid w:val="0054443C"/>
    <w:rsid w:val="005526F1"/>
    <w:rsid w:val="00552A0C"/>
    <w:rsid w:val="0057395C"/>
    <w:rsid w:val="00590750"/>
    <w:rsid w:val="00592A73"/>
    <w:rsid w:val="005C39B2"/>
    <w:rsid w:val="005C4C1E"/>
    <w:rsid w:val="005D4417"/>
    <w:rsid w:val="005D6C22"/>
    <w:rsid w:val="005E3DFD"/>
    <w:rsid w:val="005E51D1"/>
    <w:rsid w:val="00625248"/>
    <w:rsid w:val="0065181F"/>
    <w:rsid w:val="006526D7"/>
    <w:rsid w:val="00661386"/>
    <w:rsid w:val="00661B5A"/>
    <w:rsid w:val="00664B2B"/>
    <w:rsid w:val="006661A7"/>
    <w:rsid w:val="00672250"/>
    <w:rsid w:val="00687AD9"/>
    <w:rsid w:val="006966FA"/>
    <w:rsid w:val="006A1B89"/>
    <w:rsid w:val="006B239B"/>
    <w:rsid w:val="006D0901"/>
    <w:rsid w:val="006D3C0E"/>
    <w:rsid w:val="006F40B5"/>
    <w:rsid w:val="006F72B6"/>
    <w:rsid w:val="007067D6"/>
    <w:rsid w:val="007067EC"/>
    <w:rsid w:val="00735696"/>
    <w:rsid w:val="0073744A"/>
    <w:rsid w:val="0074677C"/>
    <w:rsid w:val="00786C1D"/>
    <w:rsid w:val="00790612"/>
    <w:rsid w:val="00791D47"/>
    <w:rsid w:val="00796882"/>
    <w:rsid w:val="00797F9D"/>
    <w:rsid w:val="007A3F9A"/>
    <w:rsid w:val="007B2D23"/>
    <w:rsid w:val="007F43F6"/>
    <w:rsid w:val="00812119"/>
    <w:rsid w:val="008164CE"/>
    <w:rsid w:val="008321F8"/>
    <w:rsid w:val="008449F1"/>
    <w:rsid w:val="00856070"/>
    <w:rsid w:val="0086273E"/>
    <w:rsid w:val="00873679"/>
    <w:rsid w:val="00892D5D"/>
    <w:rsid w:val="008A513F"/>
    <w:rsid w:val="008A5526"/>
    <w:rsid w:val="008B08ED"/>
    <w:rsid w:val="008B30C2"/>
    <w:rsid w:val="008B7D4A"/>
    <w:rsid w:val="008C70FC"/>
    <w:rsid w:val="008E768D"/>
    <w:rsid w:val="009026E1"/>
    <w:rsid w:val="00904013"/>
    <w:rsid w:val="0090647C"/>
    <w:rsid w:val="009153A9"/>
    <w:rsid w:val="00917F2C"/>
    <w:rsid w:val="009223A6"/>
    <w:rsid w:val="009252A4"/>
    <w:rsid w:val="00931237"/>
    <w:rsid w:val="0093463B"/>
    <w:rsid w:val="00936546"/>
    <w:rsid w:val="00962B63"/>
    <w:rsid w:val="009C1BBF"/>
    <w:rsid w:val="009C348D"/>
    <w:rsid w:val="009F3A1F"/>
    <w:rsid w:val="00A14F32"/>
    <w:rsid w:val="00A3478E"/>
    <w:rsid w:val="00A34BF7"/>
    <w:rsid w:val="00A4422D"/>
    <w:rsid w:val="00A66B2E"/>
    <w:rsid w:val="00AB46F7"/>
    <w:rsid w:val="00AE69DB"/>
    <w:rsid w:val="00AF282F"/>
    <w:rsid w:val="00B1621C"/>
    <w:rsid w:val="00B526DB"/>
    <w:rsid w:val="00B53059"/>
    <w:rsid w:val="00B66BC6"/>
    <w:rsid w:val="00B7198C"/>
    <w:rsid w:val="00B75853"/>
    <w:rsid w:val="00B94573"/>
    <w:rsid w:val="00BA53EE"/>
    <w:rsid w:val="00BE02A3"/>
    <w:rsid w:val="00BE3748"/>
    <w:rsid w:val="00BE5F8C"/>
    <w:rsid w:val="00C053A6"/>
    <w:rsid w:val="00C13CA0"/>
    <w:rsid w:val="00C23E83"/>
    <w:rsid w:val="00C25831"/>
    <w:rsid w:val="00C40EA2"/>
    <w:rsid w:val="00C53237"/>
    <w:rsid w:val="00C74510"/>
    <w:rsid w:val="00CA331B"/>
    <w:rsid w:val="00CB133B"/>
    <w:rsid w:val="00CD127E"/>
    <w:rsid w:val="00CD26EF"/>
    <w:rsid w:val="00CE108B"/>
    <w:rsid w:val="00CE4A0A"/>
    <w:rsid w:val="00CF0066"/>
    <w:rsid w:val="00D0540A"/>
    <w:rsid w:val="00D06EEF"/>
    <w:rsid w:val="00D42016"/>
    <w:rsid w:val="00D9135F"/>
    <w:rsid w:val="00DB06D7"/>
    <w:rsid w:val="00DB2679"/>
    <w:rsid w:val="00DC7558"/>
    <w:rsid w:val="00DD3B87"/>
    <w:rsid w:val="00DD726B"/>
    <w:rsid w:val="00E31ED6"/>
    <w:rsid w:val="00E50AC0"/>
    <w:rsid w:val="00E521AE"/>
    <w:rsid w:val="00E549FB"/>
    <w:rsid w:val="00E62209"/>
    <w:rsid w:val="00E6702C"/>
    <w:rsid w:val="00EB0C92"/>
    <w:rsid w:val="00EC7F51"/>
    <w:rsid w:val="00ED67B6"/>
    <w:rsid w:val="00EE077E"/>
    <w:rsid w:val="00EF5074"/>
    <w:rsid w:val="00F05E58"/>
    <w:rsid w:val="00F07E69"/>
    <w:rsid w:val="00F2033F"/>
    <w:rsid w:val="00F2673B"/>
    <w:rsid w:val="00F4136C"/>
    <w:rsid w:val="00F41B85"/>
    <w:rsid w:val="00F46225"/>
    <w:rsid w:val="00F50F73"/>
    <w:rsid w:val="00F74CB6"/>
    <w:rsid w:val="00FA2D75"/>
    <w:rsid w:val="00FA6C77"/>
    <w:rsid w:val="00FB6926"/>
    <w:rsid w:val="00FB6BD7"/>
    <w:rsid w:val="00FC7E69"/>
    <w:rsid w:val="00FD0ED8"/>
    <w:rsid w:val="00FE4672"/>
    <w:rsid w:val="00FE7D5E"/>
    <w:rsid w:val="00FF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9363D"/>
  <w15:chartTrackingRefBased/>
  <w15:docId w15:val="{F888FFF3-1A07-4349-9ED1-CFF33F0F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283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21283A"/>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21283A"/>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21283A"/>
    <w:rPr>
      <w:rFonts w:eastAsiaTheme="minorEastAsia" w:cs="Times New Roman"/>
      <w:color w:val="5A5A5A" w:themeColor="text1" w:themeTint="A5"/>
      <w:spacing w:val="15"/>
      <w:lang w:val="en-US"/>
    </w:rPr>
  </w:style>
  <w:style w:type="paragraph" w:styleId="NoSpacing">
    <w:name w:val="No Spacing"/>
    <w:link w:val="NoSpacingChar"/>
    <w:uiPriority w:val="1"/>
    <w:qFormat/>
    <w:rsid w:val="0021283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283A"/>
    <w:rPr>
      <w:rFonts w:eastAsiaTheme="minorEastAsia"/>
      <w:lang w:val="en-US"/>
    </w:rPr>
  </w:style>
  <w:style w:type="character" w:customStyle="1" w:styleId="apple-converted-space">
    <w:name w:val="apple-converted-space"/>
    <w:basedOn w:val="DefaultParagraphFont"/>
    <w:rsid w:val="00F74CB6"/>
  </w:style>
  <w:style w:type="paragraph" w:styleId="ListParagraph">
    <w:name w:val="List Paragraph"/>
    <w:basedOn w:val="Normal"/>
    <w:uiPriority w:val="34"/>
    <w:qFormat/>
    <w:rsid w:val="00904013"/>
    <w:pPr>
      <w:ind w:left="720"/>
      <w:contextualSpacing/>
    </w:pPr>
  </w:style>
  <w:style w:type="paragraph" w:styleId="Date">
    <w:name w:val="Date"/>
    <w:basedOn w:val="Normal"/>
    <w:next w:val="Normal"/>
    <w:link w:val="DateChar"/>
    <w:rsid w:val="007067EC"/>
    <w:pPr>
      <w:spacing w:after="260" w:line="220" w:lineRule="atLeast"/>
      <w:ind w:left="835" w:right="-360"/>
    </w:pPr>
    <w:rPr>
      <w:rFonts w:ascii="Times New Roman" w:eastAsia="Times New Roman" w:hAnsi="Times New Roman" w:cs="Times New Roman"/>
      <w:sz w:val="20"/>
      <w:szCs w:val="20"/>
    </w:rPr>
  </w:style>
  <w:style w:type="character" w:customStyle="1" w:styleId="DateChar">
    <w:name w:val="Date Char"/>
    <w:basedOn w:val="DefaultParagraphFont"/>
    <w:link w:val="Date"/>
    <w:rsid w:val="007067E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067EC"/>
    <w:rPr>
      <w:color w:val="0563C1" w:themeColor="hyperlink"/>
      <w:u w:val="single"/>
    </w:rPr>
  </w:style>
  <w:style w:type="paragraph" w:styleId="Header">
    <w:name w:val="header"/>
    <w:basedOn w:val="Normal"/>
    <w:link w:val="HeaderChar"/>
    <w:uiPriority w:val="99"/>
    <w:unhideWhenUsed/>
    <w:rsid w:val="00706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7EC"/>
  </w:style>
  <w:style w:type="paragraph" w:styleId="Footer">
    <w:name w:val="footer"/>
    <w:basedOn w:val="Normal"/>
    <w:link w:val="FooterChar"/>
    <w:uiPriority w:val="99"/>
    <w:unhideWhenUsed/>
    <w:rsid w:val="00706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7EC"/>
  </w:style>
  <w:style w:type="paragraph" w:customStyle="1" w:styleId="DefaultText">
    <w:name w:val="Default Text"/>
    <w:basedOn w:val="Normal"/>
    <w:rsid w:val="00E622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TableText">
    <w:name w:val="Table Text"/>
    <w:basedOn w:val="Normal"/>
    <w:rsid w:val="00E6220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56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78"/>
    <w:rPr>
      <w:rFonts w:ascii="Segoe UI" w:hAnsi="Segoe UI" w:cs="Segoe UI"/>
      <w:sz w:val="18"/>
      <w:szCs w:val="18"/>
    </w:rPr>
  </w:style>
  <w:style w:type="character" w:customStyle="1" w:styleId="m-7949048302434650249gmail-m-1484501499989911914gmail-il">
    <w:name w:val="m_-7949048302434650249gmail-m_-1484501499989911914gmail-il"/>
    <w:basedOn w:val="DefaultParagraphFont"/>
    <w:rsid w:val="00114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44986">
      <w:bodyDiv w:val="1"/>
      <w:marLeft w:val="0"/>
      <w:marRight w:val="0"/>
      <w:marTop w:val="0"/>
      <w:marBottom w:val="0"/>
      <w:divBdr>
        <w:top w:val="none" w:sz="0" w:space="0" w:color="auto"/>
        <w:left w:val="none" w:sz="0" w:space="0" w:color="auto"/>
        <w:bottom w:val="none" w:sz="0" w:space="0" w:color="auto"/>
        <w:right w:val="none" w:sz="0" w:space="0" w:color="auto"/>
      </w:divBdr>
    </w:div>
    <w:div w:id="557859865">
      <w:bodyDiv w:val="1"/>
      <w:marLeft w:val="0"/>
      <w:marRight w:val="0"/>
      <w:marTop w:val="0"/>
      <w:marBottom w:val="0"/>
      <w:divBdr>
        <w:top w:val="none" w:sz="0" w:space="0" w:color="auto"/>
        <w:left w:val="none" w:sz="0" w:space="0" w:color="auto"/>
        <w:bottom w:val="none" w:sz="0" w:space="0" w:color="auto"/>
        <w:right w:val="none" w:sz="0" w:space="0" w:color="auto"/>
      </w:divBdr>
    </w:div>
    <w:div w:id="688023363">
      <w:bodyDiv w:val="1"/>
      <w:marLeft w:val="0"/>
      <w:marRight w:val="0"/>
      <w:marTop w:val="0"/>
      <w:marBottom w:val="0"/>
      <w:divBdr>
        <w:top w:val="none" w:sz="0" w:space="0" w:color="auto"/>
        <w:left w:val="none" w:sz="0" w:space="0" w:color="auto"/>
        <w:bottom w:val="none" w:sz="0" w:space="0" w:color="auto"/>
        <w:right w:val="none" w:sz="0" w:space="0" w:color="auto"/>
      </w:divBdr>
    </w:div>
    <w:div w:id="786125212">
      <w:bodyDiv w:val="1"/>
      <w:marLeft w:val="0"/>
      <w:marRight w:val="0"/>
      <w:marTop w:val="0"/>
      <w:marBottom w:val="0"/>
      <w:divBdr>
        <w:top w:val="none" w:sz="0" w:space="0" w:color="auto"/>
        <w:left w:val="none" w:sz="0" w:space="0" w:color="auto"/>
        <w:bottom w:val="none" w:sz="0" w:space="0" w:color="auto"/>
        <w:right w:val="none" w:sz="0" w:space="0" w:color="auto"/>
      </w:divBdr>
    </w:div>
    <w:div w:id="1070999703">
      <w:bodyDiv w:val="1"/>
      <w:marLeft w:val="0"/>
      <w:marRight w:val="0"/>
      <w:marTop w:val="0"/>
      <w:marBottom w:val="0"/>
      <w:divBdr>
        <w:top w:val="none" w:sz="0" w:space="0" w:color="auto"/>
        <w:left w:val="none" w:sz="0" w:space="0" w:color="auto"/>
        <w:bottom w:val="none" w:sz="0" w:space="0" w:color="auto"/>
        <w:right w:val="none" w:sz="0" w:space="0" w:color="auto"/>
      </w:divBdr>
    </w:div>
    <w:div w:id="1862161620">
      <w:bodyDiv w:val="1"/>
      <w:marLeft w:val="0"/>
      <w:marRight w:val="0"/>
      <w:marTop w:val="0"/>
      <w:marBottom w:val="0"/>
      <w:divBdr>
        <w:top w:val="none" w:sz="0" w:space="0" w:color="auto"/>
        <w:left w:val="none" w:sz="0" w:space="0" w:color="auto"/>
        <w:bottom w:val="none" w:sz="0" w:space="0" w:color="auto"/>
        <w:right w:val="none" w:sz="0" w:space="0" w:color="auto"/>
      </w:divBdr>
    </w:div>
    <w:div w:id="1862552159">
      <w:bodyDiv w:val="1"/>
      <w:marLeft w:val="0"/>
      <w:marRight w:val="0"/>
      <w:marTop w:val="0"/>
      <w:marBottom w:val="0"/>
      <w:divBdr>
        <w:top w:val="none" w:sz="0" w:space="0" w:color="auto"/>
        <w:left w:val="none" w:sz="0" w:space="0" w:color="auto"/>
        <w:bottom w:val="none" w:sz="0" w:space="0" w:color="auto"/>
        <w:right w:val="none" w:sz="0" w:space="0" w:color="auto"/>
      </w:divBdr>
    </w:div>
    <w:div w:id="19158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577683-7F0E-4356-AE87-C56C2D2C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4265</Words>
  <Characters>24312</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Prestbury Parish Council</vt:lpstr>
    </vt:vector>
  </TitlesOfParts>
  <Company>JDH Business Services Ltd</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Prestbury Parish Council</dc:title>
  <dc:subject>Proposal</dc:subject>
  <dc:creator>John Henry</dc:creator>
  <cp:keywords/>
  <dc:description/>
  <cp:lastModifiedBy>Diane Harrold</cp:lastModifiedBy>
  <cp:revision>2</cp:revision>
  <cp:lastPrinted>2018-06-13T19:34:00Z</cp:lastPrinted>
  <dcterms:created xsi:type="dcterms:W3CDTF">2021-05-19T09:12:00Z</dcterms:created>
  <dcterms:modified xsi:type="dcterms:W3CDTF">2021-05-19T09:12:00Z</dcterms:modified>
</cp:coreProperties>
</file>